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C-5969/2009 vom 18. August 2009</w:t>
      </w:r>
    </w:p>
    <w:p>
      <w:r>
        <w:t>Bundesverwaltungsgericht, 2009-08-18, IT</w:t>
      </w:r>
    </w:p>
    <w:p>
      <w:r>
        <w:rPr>
          <w:b/>
        </w:rPr>
        <w:t xml:space="preserve">Quelle: </w:t>
      </w:r>
      <w:r>
        <w:t>https://mcp.opencaselaw.ch/entscheid/bvger_C-5969_2009</w:t>
      </w:r>
    </w:p>
    <w:p>
      <w:r>
        <w:t>FR: TAF C-5969/2009 du 18 août 2009</w:t>
      </w:r>
    </w:p>
    <w:p>
      <w:r>
        <w:t>IT: TAF C-5969/2009 del 18 agosto 2009</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w:t>
      </w:r>
    </w:p>
    <w:p>
      <w:r>
        <w:t>Il ricorrente contesta la validità materiale della decisione dell'UAIE, chiedendo che gli sia riconosciuto il diritto ad una rendita intera d'invalidità o, a titolo sussidiario, di grado inferiore.</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7.2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7.3</w:t>
      </w:r>
    </w:p>
    <w:p>
      <w:r>
        <w:t>In concreto, la prima decisione che ha rifiutato di accordare al ricorrente una rendita d'invalidità, cresciuta in giudicato, è stata resa il 6 settembre 2005 (doc. 20). Il ricorrente ha poi presentato una seconda domanda di rendita il 19 febbraio 2008 (doc. 21 a 24), che l'UAIE ha respinto mediante decisione del 18 agosto 2009 (doc. 73), qui impugnata. Ne consegue che il periodo di riferimento per giudicare se è intervenuta una modifica rilevante del grado d'invalidità, può essere limitato dal 6 settembre 2005 al 18 agosto 2009.</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In concreto, dall'insieme della documentazione medica agli atti e, in particolare, dalla perizia E 213 del dott. D._______, medico dell'INPS, del 6 febbraio 2009 (doc. 64), e dal rapporto del dott. C._______, medico dell'UAIE, del 30 marzo 2009 (doc. 68), risulta la diagnosi di esiti da operazione della cuffia dei rotatori destra, di disturbi degenerativi del rachide lombare, di gonartrosi sinistra, d'umore depresso e di esiti da infarto miocardico. Visto il carattere univoco di questa diagnosi, del resto non contestata dal ricorrente, il collegio giudicante non può che aderirvi.</w:t>
      </w:r>
    </w:p>
    <w:p>
      <w:r>
        <w:rPr>
          <w:b/>
        </w:rPr>
        <w:t>E. 10.1</w:t>
      </w:r>
    </w:p>
    <w:p>
      <w:r>
        <w:t>A proposito dell'incapacità lavorativa, il dott. D._______ ha osservato, nella sua perizia E 213 del 6 febbraio 2009, che il ricorrente presenta un rachide lombare spinalgico non contratturato e con motilità limitata ai gradi estremi, degli arti superiori dolenti e con movimenti limitati della scapola omerale destra per circa un quarto, come pure una gonalgia sinistra con motilità limitata ai gradi estremi, concludendo che egli è in grado di svolgere regolarmente lavori leggeri, senza controindicazioni, che può continuare a praticare la sua ultima attività solamente a ragione di cinque o sei ore al giorno, e che può eseguire lavori confacenti sedentari, come operaio generico, al massimo per due o tre ore giornaliere, il grado d'invalidità essendo valutato, secondo il diritto italiano, al 60%. Dal canto suo, il dott. C._______ ha evidenziato in un primo tempo, nel suo rapporto del 30 marzo 2009, dopo avere esplicitamente richiamato le osservazioni del dott. D._______ relative all'esame obiettivo del ricorrente, un'incapacità lavorativa totale per l'ultima attività esercitata, e ciò a decorrere dall'11 aprile 2008, come pure una capacità lavorativa completa, dal 6 febbraio 2009, data della perizia del dott. D._______, in attività adeguate, non implicanti il trasporto di pesi superiori a 5 kg a carico del braccio destro e, in generale, lavori pesanti. Dopo avere ricevuto dall'UAIE l'informazione secondo cui il ricorrente lavorerebbe tuttora come saldatore senza perdita di guadagno, il dott. C._______ ha dichiarato, nel suo rapporto del 5 giugno 2009 (doc. 71), che non sussiste incapacità lavorativa per questa attività.</w:t>
      </w:r>
    </w:p>
    <w:p>
      <w:r>
        <w:rPr>
          <w:b/>
        </w:rPr>
        <w:t>E. 10.2</w:t>
      </w:r>
    </w:p>
    <w:p>
      <w:r>
        <w:t>Ora, all'incarto figura unicamente un questionario compilato dall'ultimo datore di lavoro del ricorrente l'8 agosto 2008, dal quale risulta chiaramente che, a seguito dell'infortunio avvenuto l'11 aprile 2008, egli aveva dovuto interrompere il lavoro e che, alla data di stesura del questionario, si trovava ancora in malattia. Si evince pure da tale documento che già in seguito all'infarto subito nel marzo 2004, il ricorrente aveva dovuto assumere mansioni più leggere senza tuttavia alcuna perdita di guadagno. D'altronde, anche dalla perizia E 213 del 9 febbraio 2009 si evince che il ricorrente, a tale data, non svolgeva alcuna attività lucrativa.</w:t>
      </w:r>
    </w:p>
    <w:p>
      <w:r>
        <w:rPr>
          <w:b/>
        </w:rPr>
        <w:t>E. 10.3</w:t>
      </w:r>
    </w:p>
    <w:p>
      <w:r>
        <w:t>Alle luce di tali considerazioni, il collegio giudicante non può pertanto aderire alle conclusioni dell'UAIE. Contrariamente a quanto sostenuto dall'amministrazione (doc. 70), non risulta infatti accertato se il ricorrente abbia o non abbia potuto riprendere la sua attività abituale presso l'ultimo datore di lavoro, per cui non è possibile giudicare se il suo stato di salute sia peggiorato in misura rilevante per il riconoscimento del diritto ad una rendita d'invalidità nel periodo in esame (cfr. consid. 7). La questione della capacità lavorativa residua del ricorrente abbisogna perciò di essere ulteriormente istruita, anche tenuto conto del fatto che, in un primo tempo, lo stesso dott. C._______ aveva reputato ragionevolmente esigibili solo attività sostitutive.</w:t>
      </w:r>
    </w:p>
    <w:p>
      <w:r>
        <w:rPr>
          <w:b/>
        </w:rPr>
        <w:t>E. 11</w:t>
      </w:r>
    </w:p>
    <w:p>
      <w:r>
        <w:t>Di conseguenza, conformemente alle considerazioni sopraesposte, è necessario accogliere parzialmente il ricorso, annullare la decisione impugnata e rinviare l'incarto all'UAIE per complemento d'istruzione.</w:t>
      </w:r>
    </w:p>
    <w:p>
      <w:r>
        <w:rPr>
          <w:b/>
        </w:rPr>
        <w:t>E. 11.1</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contraddizioni che palesa l'incarto riguardo alla capacità lavorativa del ricorrente.</w:t>
      </w:r>
    </w:p>
    <w:p>
      <w:r>
        <w:rPr>
          <w:b/>
        </w:rPr>
        <w:t>E. 11.2</w:t>
      </w:r>
    </w:p>
    <w:p>
      <w:r>
        <w:t>L'UAIE dovrà quindi completare l'istruttoria per determinare se il ricorrente ha continuato ad esercitare l'attività di serramentista presso il suo ultimo datore di lavoro in Italia, fino alla data della decisione impugnata, e, nell'affermativa, a quali condizioni (orario di lavoro, salario, genere di mansioni). L'UAIE sottoporrà poi l'intero incarto al proprio servizio medico, il quale quantificherà la capacità lavorativa dettagliando e giustificando le proprie conclusioni. Una volta che il servizio medico si sarà pronunciato in questo senso, l'UAIE effettuerà, se del caso, un adeguato e circostanziato raffronto dei redditi, ed emanerà quindi una nuova decisione impugnabile.</w:t>
      </w:r>
    </w:p>
    <w:p>
      <w:r>
        <w:rPr>
          <w:b/>
        </w:rPr>
        <w:t>E. 12</w:t>
      </w:r>
    </w:p>
    <w:p>
      <w:r>
        <w:t>Secondo l'art. 63 cpv. 1 PA, le spese processuali sono di regola messe a carico della parte soccombente. In concreto, visto l'esito della procedura, non sono prelevate spese processuali e l'anticipo di Fr. 300.-, versato il 27 gennaio 2010,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è giustificato assegnarli un'indennità per spese ripetibili di Fr. 800.-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