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C-595/2009 vom 25. Mai 2011</w:t>
      </w:r>
    </w:p>
    <w:p>
      <w:r>
        <w:t>Bundesverwaltungsgericht, 2011-05-25, FR</w:t>
      </w:r>
    </w:p>
    <w:p>
      <w:r>
        <w:rPr>
          <w:b/>
        </w:rPr>
        <w:t xml:space="preserve">Quelle: </w:t>
      </w:r>
      <w:r>
        <w:t>https://mcp.opencaselaw.ch/entscheid/bvger_C-595_2009</w:t>
      </w:r>
    </w:p>
    <w:p>
      <w:r>
        <w:t>FR: TAF C-595/2009 du 25 mai 2011</w:t>
      </w:r>
    </w:p>
    <w:p>
      <w:r>
        <w:t>IT: TAF C-595/2009 del 25 maggio 2011</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l'autorité de céans,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entrée en vigueur le 1er janvier 2003, est applicable. L'art. 1 al. 1 LAI dispose que les dispositions de la LPGA s'appliquent à l'assurance-invalidité (art. 1a à 26bis et 28 à 70), à moins que la LAI ne déroge à la LPGA.</w:t>
      </w:r>
    </w:p>
    <w:p>
      <w:r>
        <w:rPr>
          <w:b/>
        </w:rPr>
        <w:t>E. 1.3</w:t>
      </w:r>
    </w:p>
    <w:p>
      <w:r>
        <w:t>Le recourant a pris part à la procédure devant l'autorité inférieure; il est spécialement atteint par la décision attaquée et a un intérêt digne de protection à son annulation ou à sa modification (art. 48 al. 1 PA, cf. art. 59 LPGA). Il est, partant, légitimé à recourir. Dans la mesure où le recours a été introduit dans le délai et la forme prescrits (art. 60 LPGA et 52 PA), il est entré en matière sur le fond du recours.</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(ATFA cause I 435/02 consid. 2 du 4 février 2003;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3</w:t>
      </w:r>
    </w:p>
    <w:p>
      <w:r>
        <w:t>La LPGA est entrée en vigueur le 1er janvier 2003, entraînant la modification de nombreuses dispositions légales dans le domaine de l'assurance-invalidité. Selon l'art. 2 LPGA (également dans sa teneur en vigueur à partir du 1er janvier 2008), les dispositions de la présente loi sont applicables aux assurances sociales régies par la législation fédérale, si et dans la mesure où les lois spéciales sur les assurances sociales le prévoient. S'agissant du droit applicable, il convient encore de préciser qu'à partir du 1er janvier 2008 la présente procédure, quant au droit matériel, est régie par la teneur de la LAI modifiée par la novelle du 6 octobre 2006 (5ème révision), eu égard au principe selon lequel les règles applicables sont celles en vigueur au moment où les faits juridiquement déterminants se sont produits (ATF 130 V 445 consid. 1.2). Lors de l'examen d'un éventuel droit à une prestation de l'assurance-invalidité né avant le 1er janvier 2008, il y a lieu de se référer aux principes généraux en matière de droit intertemporel selon lesquels sont en règle générale déterminantes les dispositions légales en vigueur lors de la réalisation de l'état de fait qui a des conséquences juridiques. Par conséquent, le droit à une prestation s'examine pour la période s'étendant jusqu'au 31 décembre 2007, à la lumière des anciennes normes et, à partir de ce moment-là, des nouvelles.</w:t>
      </w:r>
    </w:p>
    <w:p>
      <w:r>
        <w:rPr>
          <w:b/>
        </w:rPr>
        <w:t>E. 4</w:t>
      </w:r>
    </w:p>
    <w:p>
      <w:r>
        <w:t>Le recourant a présenté sa demande de rente le 22 mai 2006. En dérogation à l'art. 24 LPGA, l'art. 48 al. 2 LAI (dans sa teneur du 6 octobre 2000, en vigueur jusqu'au 31 décembre 2007) prévoit que si un assuré présente sa demande de rente plus de douze mois après la naissance du droit, les prestations ne sont allouées que pour les douze mois précédant le dépôt de la demande. Concrètement, le Tribunal peut se limiter à examiner si et dans quelle mesure le recourant avait droit à une rente le 22 mai 2005 (12 mois avant le dépôt de la demande) ou si le droit à une rente était né entre cette date et le 5 janvier 2009, date de la décision attaquée marquant la limite dans le temps du pouvoir d'examen de l'autorité de recours (ATF 129 V 4 consid. 2.1 et 121 V 366 consid. 1b). Selon les normes en vigueur au moment du dépôt de la demande et jusqu'au 31 décembre 2007, le requérant, pour avoir droit à une rente de l'assurance-invalidité suisse, doit remplir cumulativement les conditions suivantes, à savoir être invalide au sens de la LPGA et de la LAI (art. 8 al. 1 LPGA, 4, 28, 29 al. 1 LAI) et compter une année entière au moins de cotisations (art. 36 al. 1 LAI). En vertu des normes en vigueur à partir du 1er janvier 2008, l'assuré a droit à une rente s'il est invalide au sens de la LPGA/LAI et s'il compte trois années au moins de cotisations (art. 36 LAI dans sa nouvelle teneur modifiée le 6 octobre 2006); dans ce cadre, les cotisations versées à une assurance sociale assimilée d'un Etat membre de l'Union européenne (UE) ou de l'Association européenne de libre échange (AELE) peuvent également être prises en considération, à condition qu'une année au moins de cotisations peut être comptabilisée en Suisse (FF 2005 p. 4065; art. 45 du règlement 1408/71). En l'occurrence, le recourant a versé des cotisations à l'AVS/AI à tout le moins pendant plus de trois ans et remplit, partant, la condition de la durée minimale de cotisations. Il reste dès lors à examiner s'il est invalide au sens de la LAI.</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5.2</w:t>
      </w:r>
    </w:p>
    <w:p>
      <w:r>
        <w:t>En vertu des normes en vigueur jusqu'au 31 décembre 2007, l'assuré a droit à un quart de rente s'il est invalide à 40% au moins, à une demi-rente s'il est invalide à 50%, à trois-quarts de rente s'il est invalide à 60% et à une rente entière s'il est invalide à 70% au moins (art. 28 al. 1 LAI). Suite à l'entrée en vigueur le 1er juin 2002 de l'ALCP, la restriction prévue à l'art. 28 al. 1ter LAI - selon laquelle les rentes correspondant à un taux d'invalidité inférieur à 50% ne sont versées qu'aux assurés qui ont leur domicile et leur résidence habituelle en Suisse (art. 13 LPGA) - n'est plus applicable lorsque l'assuré est citoyen suisse ou ressortissant de l'UE et réside dans un Etat membre dans le sens de cet Accord (ATF 130 V 253 consid. 3.1). 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265 ss).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22 consid. 2; 99 V 99; 96 V 44).</w:t>
      </w:r>
    </w:p>
    <w:p>
      <w:r>
        <w:rPr>
          <w:b/>
        </w:rPr>
        <w:t>E. 5.3</w:t>
      </w:r>
    </w:p>
    <w:p>
      <w:r>
        <w:t>Selon l'art. 28 al. 1 let. a LAI, dans sa teneur à partir du 1er janvier 2008, l'assuré a droit à une rente si sa capacité de gain ou sa capacité d'accomplir ses travaux habituels ne peut pas être rétablie, maintenue ou améliorée par des mesures de réadaptation raisonnablement exigibles (art. 28 al. 1 let. a), s'il a présenté une incapacité de travail (art. 28 al. 1 let. b) d'au moins 40% en moyenne durant une année sans interruption notable et si au terme de cette année, il est invalide (art. 28 al. 1 let. c) à 40% au moins. La rente est échelonnée selon le taux d'invalidité à un quart de rente si l'assuré est invalide à 40% au moins, à une demi-rente s'il est invalide à 50%, à trois-quarts de rente s'il est invalide à 60% et à une rente entière s'il est invalide à 70% au moins (art. 28 al. 2 LAI). En vertu de l'art. 29 al. 1 LAI, le droit à la rente prend naissance au plus tôt à l'échéance d'une période de six mois à compter de la date à laquelle l'assuré a fait valoir son droit aux prestations conformément à l'art. 29 al. 1 LPGA.</w:t>
      </w:r>
    </w:p>
    <w:p>
      <w:r>
        <w:rPr>
          <w:b/>
        </w:rPr>
        <w:t>E. 6.1</w:t>
      </w:r>
    </w:p>
    <w:p>
      <w:r>
        <w:t>Le recourant a travaillé en Suisse entre 1983 et 1998 dans le secteur de la construction. De retour au Portugal, il a été actif en dernier lieu, de janvier 2000 au 31 décembre 2004, comme restaurateur indépendant (pce 42). Selon les indications contenues dans le questionnaire à l'assuré, il a interrompu son activité à la date mentionnée pour raison de santé et n'a pas pu la reprendre ultérieurement (pce 9). La notion d'invalidité, dont il est question à l'art. 8 LPGA et à l'art. 4 LAI, est de nature juridique/économique et non pas médicale (ATF 116 V 246 consid. 1b). En d'autres termes, l'assurance-invalidité suisse couvre uniquement les pertes économiques liées à une atteinte à la santé physique, mentale ou psychique - qui peut résulter d'une infirmité congénitale, d'une maladie ou d'un accident - et non la maladie en tant que telle. Ainsi le taux d'invalidité ne se confond pas nécessairement avec le taux d'incapacité fonctionnelle déterminé par le médecin; ce sont les conséquences économiques objectives de l'incapacité fonctionnelle qu'il importe d'évaluer (ATF 110 V 275 consid. 4). A cet égard, il convient toutefois de relever que le Tribunal fédéral a jugé que les données fournies par les médecins constituent un élément utile pour déterminer quels travaux peuvent encore être exigés de l'assuré (ATF 125 V 261 consid. 4, 115 V consid. 2, 114 V 314 consid. 3c, 105 V 158 consid. 1; RCC 1991 p. 331 consid. 1c).</w:t>
      </w:r>
    </w:p>
    <w:p>
      <w:r>
        <w:rPr>
          <w:b/>
        </w:rPr>
        <w:t>E. 6.2</w:t>
      </w:r>
    </w:p>
    <w:p>
      <w:r>
        <w:t>X._______ a été traité pour hypertension artérielle, hyperuricémie, adiposité avec dyslipidémie, goutte, apnée du sommeil et problèmes orthopédiques; les médecins portugais ont également mentionné un syndrome dépressif récurrent. Etant donné qu'il ne s'agit pas là d'un état de santé stabilisé, la let. a de l'art. 29 al. 1 LAI (dans sa teneur jusqu'au 31 décembre 2007) est inapplicable; seule peut entrer en considération la let. b de cette disposition légale prévoyant en principe une période d'attente d'une année à partir du début de l'incapacité de travail relevante pour la détermination du début du droit à la rente.</w:t>
      </w:r>
    </w:p>
    <w:p>
      <w:r>
        <w:rPr>
          <w:b/>
        </w:rPr>
        <w:t>E. 6.3</w:t>
      </w:r>
    </w:p>
    <w:p>
      <w:r>
        <w:t>En l'espèce, l'OAIE a retenu que X._______ avait subi, dès le 14 juin 2006 (soit dès le rapport radiographique du pied) une incapacité de travail de 50% dans l'activité de restaurateur. Toutefois, au vu des symptômes présentés, l'OAIE a jugé que l'intéressé conservait une capacité de travail de 100% dans une activité adaptée à son état, ce qui reflétait une perte de gain de 20%. De son côté, le recourant soutient que son état de santé affecte de manière importante sa vie personnelle et professionnelle et que son incapacité de travail est d'au moins de 80%.</w:t>
      </w:r>
    </w:p>
    <w:p>
      <w:r>
        <w:rPr>
          <w:b/>
        </w:rPr>
        <w:t>E. 6.4</w:t>
      </w:r>
    </w:p>
    <w:p>
      <w:r>
        <w:t>Sur le plan somatique, les médecins consultés s'accordent sur le diagnostic. En revanche, la question de l'évaluation de la capacité de travail du recourant demeure litigieuse. La Dresse C._______ considère que si, selon la législation portugaise, l'assuré pourrait être reconnu invalide à raison de 20 à 30%, celui-ci pourrait cependant exercer une activité de substitution adaptée à plein temps (E 213 : pce 40 pt 11.6). Les médecins du service médical de l'OAIE, les Drs E._______ et G._______, vont dans le même sens (pces 43 et 53). Seul le médecin traitant de l'assuré, la Dresse D._______, a relevé pour son patient tout d'abord une incapacité de travail d'environ 60% (attestation médicale du 9 décembre 2008, pces 47 à 50), puis de 80% (attestation médicale du 19 janvier 2009, TAF pce 1 annexe); il est vrai que la Dresse D._______ se réfère aussi à l'état de santé psychique de X._______, relevant que celui-ci présente des phobies et un état anxieux et faisant mention d'une hospitalisation en milieu psychiatrique; à ce sujet, il convient de relever que le rapport E 213 du 14 janvier 2008 mentionne également un syndrome dépressif récurrent, l'intéressé s'en étant plaint; celui-là n'empêche toutefois pas l'assuré, selon le médecin de l'organisme portugais, d'entreprendre une activité de substitution à plein temps. De plus, l'hospitalisation en milieu psychiatrique dont la Dresse D._______ fait référence dans son certificat médical du 19 janvier 2009 est fort ancienne (hospitalisation du 16 mars au 27 avril 1983 : TAF pce 13). En outre, il paraît vraisemblable qu'en tant que médecin traitant, elle soit encline, en cas de doutes, à prendre parti pour son patient en raison de la relation de confiance qui la lie à lui (ATF 125 V 335 consid. 3b/cc et les références citées), ce qui atténue la portée de ses avis médicaux. De plus, les attestations au dossier (pces 47 à 50 et TAF pce 1), pour le moins fort succintes, ne contiennent que des diagnostics et ne remplissent ainsi nullement les conditions jurisprudentielles indispensables pour présenter une quelconque valeur probante (cf. ATF 125 V 352 consid. 3a et réf. cit.). Elles ne sauraient dès lors, pour cette raison encore, être prises en compte. A titre superfétatoire, les affections psychiques dont souffriraient l'assuré ne sont aucunement documentées et il ne ressort pas des pièces du dossier que celui-ci doivent encore suivre un quelconque traitement à ce titre, l'ordonnance versée en cause par le recourant le 18 mai 2011, datant du 15 novembre 2004 (TAF pce 13).</w:t>
      </w:r>
    </w:p>
    <w:p>
      <w:r>
        <w:rPr>
          <w:b/>
        </w:rPr>
        <w:t>E. 6.5</w:t>
      </w:r>
    </w:p>
    <w:p>
      <w:r>
        <w:t>Dans ces conditions, le Tribunal, suivant les avis des médecins de l'OAIE et de la Dresse C._______, retient que X._______ est apte à travailler à 100% dans une activité de substitution légère en position assise, sans port de charges de plus de 10 kg.</w:t>
      </w:r>
    </w:p>
    <w:p>
      <w:r>
        <w:rPr>
          <w:b/>
        </w:rPr>
        <w:t>E. 7.1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7.2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7.3</w:t>
      </w:r>
    </w:p>
    <w:p>
      <w:r>
        <w:t>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(ESS) peuvent aussi servir à fixer le montant des revenus que l'assuré aurait pu obtenir s'il n'était pas invalide.</w:t>
      </w:r>
    </w:p>
    <w:p>
      <w:r>
        <w:rPr>
          <w:b/>
        </w:rPr>
        <w:t>E. 7.4</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8.1</w:t>
      </w:r>
    </w:p>
    <w:p>
      <w:r>
        <w:t>In casu, il s'agit de comparer les revenus en fonction de ce qu'ils étaient, ou auraient pu être, en 2007, douze mois après l'apparition des atteintes causant l'incapacité survenue en 2006 (art. 29 al. 1 let. b LAI dans sa teneur jusqu'au 31 décembre 2007; ATF 129 V 222 consid. 4.3.1 et 4.4; ATF 128 V 174; arrêt du Tribunal administratif fédéral C-4599/2007 du 27 avril 2009 consid. 10.1). Bien que l'OAIE ait fondé ses calculs sur l'année 2006 au lieu de 2007, la méthode générale d'évaluation des revenus consistant à comparer le salaire sans invalidité du recourant avec un revenu théorique dans des activités de substitution simples et légères du domaine privé, demeure correcte. En l'occurrence, pour fixer le revenu sans invalidité, il faut se baser sur le salaire mensuel moyen d'un salarié avec des connaissances spécialisées dans l'hôtellerie et la restauration. Selon l'ESS 2006, table TA1, niveau 3, il en résulte un salaire mensuel de Fr. 4'127.--. Indexé à 2007, on obtient un revenu mensuel de 4'139.-- pour 40h./sem., soit Fr. 4'356.-- pour 42.1h/sem. (temps de travail hebdomadaire dans ce secteur en 2007).</w:t>
      </w:r>
    </w:p>
    <w:p>
      <w:r>
        <w:rPr>
          <w:b/>
        </w:rPr>
        <w:t>E. 8.2</w:t>
      </w:r>
    </w:p>
    <w:p>
      <w:r>
        <w:t>Le salaire après invalidité doit également être fixé sur la base de l'ESS 2006. Les activités de substitution proposées correspondent à celles d'un travailleur non qualifié dans un emploi simple et répétitif. L'OAIE a procédé à une moyenne des revenus dans les branches suivantes: services fournis aux entreprises, services collectifs, commerce en gros et commerce de détail. Le Tribunal préférera appliquer le revenu moyen pour l'ensemble du domaine des services, car un nombre suffisant d'activités de ce secteur peuvent être exercées par le recourant en respectant les limitations fonctionnelles décrites par les Drs E._______ et G._______, à savoir des activités légères, simples et répétitives, principalement en position assise, sans port de charges de plus de 10 kg. Il faut donc se référer, pour un homme dans le secteur privé, à la table TA1, niveau 4, secteur 3 (50-93), soit Fr. 4'384.--. Indexé à 2007, on obtient un revenu de Fr. 4'455.83 pour 40h/sem., et Fr. 4'689.-- pour 42.1h/sem. Compte tenu de l'âge du recourant et de ses restrictions personnelles, il se justifie d'opérer, à l'instar de l'administration, une réduction du salaire d'invalide de 20%, l'abaissement maximal admis par la jurisprudence étant de 25% (ATF 126 V 728 consid. 5). Le revenu d'invalide du recourant se monte ainsi à Fr 3'751.20.</w:t>
      </w:r>
    </w:p>
    <w:p>
      <w:r>
        <w:rPr>
          <w:b/>
        </w:rPr>
        <w:t>E. 8.3</w:t>
      </w:r>
    </w:p>
    <w:p>
      <w:r>
        <w:t>La comparaison du salaire avant invalidité de Fr. 4'356.-- avec celui après invalidité de Fr. 3'751.20, fait apparaître une perte de gain de 13.88% [(4'356 - 3'751.20) x 100 : 4'356.--)]. Ce taux étant inférieur à 40%, il n'ouvre pas le droit à un quart de rente, conformément à ce qui a été retenu par décision du 5 janvier 2009 (cf. art. 28 al. 1 LAI dans sa version en vigueur jusqu'au 31 décembre 2007).</w:t>
      </w:r>
    </w:p>
    <w:p>
      <w:r>
        <w:rPr>
          <w:b/>
        </w:rPr>
        <w:t>E. 9</w:t>
      </w:r>
    </w:p>
    <w:p>
      <w:r>
        <w:t>Il est utile de relever que, selon un principe générale valable en assurances sociales, l'assuré a l'obligation de diminuer le dommage et doit entreprendre de son propre chef tout ce qu'on peut raisonnablement attendre de lui afin d'atténuer autant que possible les conséquences de son invalidité (ATF 123 V 96 consid. 4 c, 115 V 53, 114 V 285 consid. 3, 11 V 239 consid. 2a; Ulrich Meyer Blaser, Zum Verhältnismässigkeitsgrundsatz im staatlichen Leistungsrecht, thèse, Berne 1985, p. 131). Il convient notamment de souligner que ni l'âge, ni la situation familiale ou économique, en particulier un marché de l'emploi local restreint, un arrêt prolongé de l'activité professionnelle ne constituent un critère relevant pour l'octroi d'une rente d'invalidité. Ces circonstances bien que pouvant compromettre la reprise d'une activité ne peuvent être prises en considération dans l'évaluation de l'invalidité (arrêt du Tribunal administratif fédéral I 175/04 du 28 janvier 2005 consid. 3; Jurisprudence et pratique administrative des autorités d'exécution de l'AVS/AI (VSI) 1999 p. 247 consid. 1, 1998 p. 296 consid. 3b). Eu égard à ce qui précède, la décision entreprise doit être confirmée et le recours rejeté. Celui-ci étant manifestement infondé, il convient de statuer sur le présent litige dans une procédure à juge unique (art. 69 al. 2 LAI; art. 85bis de la loi fédérale du 20 décembre 1946 sur l'assurance-vieillesse et survivants [LAVS, RS 831.10]).</w:t>
      </w:r>
    </w:p>
    <w:p>
      <w:r>
        <w:rPr>
          <w:b/>
        </w:rPr>
        <w:t>E. 10</w:t>
      </w:r>
    </w:p>
    <w:p>
      <w:r>
        <w:t>Les frais de procédure, fixés à Fr. 300.--, sont mis à la charge du recourant (art. 63 al. 1 PA, applicable par le truchement de l'art. 37 LTAF).Vu l'issue du litige, il n'est pas alloué de dépens (art. 7 al. 1 a contrario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