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C-595/2006 vom 18. Juni 2007</w:t>
      </w:r>
    </w:p>
    <w:p>
      <w:r>
        <w:t>Bundesverwaltungsgericht, 2007-06-18, FR</w:t>
      </w:r>
    </w:p>
    <w:p>
      <w:r>
        <w:rPr>
          <w:b/>
        </w:rPr>
        <w:t xml:space="preserve">Quelle: </w:t>
      </w:r>
      <w:r>
        <w:t>https://mcp.opencaselaw.ch/entscheid/bvger_C-595_2006</w:t>
      </w:r>
    </w:p>
    <w:p>
      <w:r>
        <w:t>FR: TAF C-595/2006 du 18 juin 2007</w:t>
      </w:r>
    </w:p>
    <w:p>
      <w:r>
        <w:t>IT: TAF C-595/2006 del 18 giugno 2007</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PA prises par les autorités mentionnées à l'art. 33 et l'art. 34 LTAF.</w:t>
      </w:r>
    </w:p>
    <w:p>
      <w:r>
        <w:rPr>
          <w:b/>
        </w:rPr>
        <w:t>E. 1.2</w:t>
      </w:r>
    </w:p>
    <w:p>
      <w:r>
        <w:t>En particulier, les décisions en matière d'extension à tout le territoire de la Confédération d'une décision cantonale de renvoi prononcées par l'ODM sont susceptibles de recours administratif au TAF, qui statue définitivement (cf. art. 20 al. 1 LSEE en relation avec l'art. 1 al. 2 LTAF et l'art. 83 let. c ch. 4 de la loi fédérale du 17 juin 2005 sur le Tribunal fédéral [LTF, RS 173.110]).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Le recourant a qualité pour recourir (art. 20 al. 1 LSEE en relation avec l'art. 48 PA). Présenté dans la forme et les délais prescrits par la loi, le recours est recevable (cf. art. 50ss PA).</w:t>
      </w:r>
    </w:p>
    <w:p>
      <w:r>
        <w:rPr>
          <w:b/>
        </w:rPr>
        <w:t>E. 2.1</w:t>
      </w:r>
    </w:p>
    <w:p>
      <w:r>
        <w:t>L'étranger qui n'est au bénéfice d'aucune autorisation peut être tenu en tout temps de quitter la Suisse (art. 12 al. 1 LSEE). L'étranger est tenu de quitter le canton à l'échéance de l'autorisation (art. 12 al. 2 LSEE). En vertu de l'art. 12 al. 3 1ère phrase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2e et 3e phrases LSEE). L'autorité fédérale peut transformer l'ordre de quitter un canton en un ordre de quitter la Suisse (art. 12 al. 3 4e phrase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2.2</w:t>
      </w:r>
    </w:p>
    <w:p>
      <w:r>
        <w:t>Pour saisir la portée de la réglementation précitée,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 Le renvoi prononcé en application de l'art. 12 al. 3 1ère phrase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Urs Bolz, Rechtsschutz im Ausländer-und Asylrecht, Bâle/Francfort-sur-le Main 1990, p. 62ss). Dans ces conditions, les motifs ayant conduit les autorités cantonales de police des étrangers, après une pesée des intérêts (publics et privés) en présence, à refuser la délivrance ou le renouvellement d'une autorisation et à prononcer le renvoi de l'étranger (dépourvu de titre de séjour dans ce canton)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dans ce pays, ou à ses liens personnels avec celui-ci), qui relèvent de la procédure cantonale d'autorisation et des voies de recours y afférentes, n'ont plus à être examinés par les autorités fédérales de police des étrangers, sous réserve de l'existence d'éventuels obstacles à l'exécution du renvoi au sens de l'art. 14a al. 1 à 4 LSEE. Ainsi, il n'appartient pas au TAF d'examiner si l'intéressé peut se réclamer de l'art. 8 CEDH. En effet, selon la jurisprudence des autorités fédérales (cf. JAAC 63.1), si un étranger peut, selon les circonstances, se prévaloir du droit au respect de sa vie privée et familiale garanti par cette disposition conventionnelle pour s'opposer à l'éventuelle séparation de sa famille, au sens de la disposition conventionnelle précitée, et obtenir ainsi une autorisation de séjour (cf. ATF 126 II 377 consid. 2b, ATF 125 II 633 consid. 2e, ATF 122 II 5 consid. 1e), il appartient toutefois aux autorités cantonales de police des étrangers de déterminer si, dans un cas particulier, il se justifie de délivrer un tel titre de séjour en vertu de l'art. 8 CEDH. Elles sont en effet seules compétentes pour décider de l'octroi ou non d'une autorisation de séjour (art. 15 LSEE en relation avec l'art. 51 OLE; ATF 127 II 49 consid. 3). Or, dans le cas d'espèce, pareil élément a été invoqué devant la CCRPE qui a confirmé, par arrêt du 30 janvier 2007, la décision de l'OCP du 2 juin 2006.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4e phrase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3.1</w:t>
      </w:r>
    </w:p>
    <w:p>
      <w:r>
        <w:t>En l'espèce, force est de constater que, par décision du 4 février 2003, l'OCP a refusé de renouveler l'autorisation de séjour de A._______ et prononcé son renvoi du territoire cantonal. Cette décision a été confirmée sur recours par la CCRPE, le 21 octobre 2003. En outre, par décision du 2 juin 2006 - également confirmée par l'autorité cantonale de recours précitée dans son arrêt du 30 janvier 2007 - l'OCP a encore refusé d'accorder au prénommé une autorisation de séjour à quelque titre que ce soit. Le prénommé, à défaut de titre de séjour, n'est donc plus autorisé à résider légalement sur le territoire genevois. Au demeurant, par décision du 10 mars 2004, le SPOP a refusé d'entrer en matière sur sa demande d'autorisation de séjour. Les décisions précitées ont donc acquis force de chose jugée et, partant, sont exécutoires.</w:t>
      </w:r>
    </w:p>
    <w:p>
      <w:r>
        <w:rPr>
          <w:b/>
        </w:rPr>
        <w:t>E. 3.2</w:t>
      </w:r>
    </w:p>
    <w:p>
      <w:r>
        <w:t>Par ailleurs, l'autorité de première instance n'a pas jugé nécessaire de renoncer à l'extension du renvoi à tout le territoire de la Suisse, ce qui ne saurait être contesté dans la mesure où il ne ressort pas du dossier que le recourant, qui ne s'est jamais prévalu d'attaches particulières avec un canton autre que ceux de Genève et Vaud, aurait engagé, à la suite des décisions négatives rendues par les autorités genevoises et le SPOP, une nouvelle procédure d'autorisation dans un canton tiers qui se serait déclaré disposé à régler ses conditions de séjour sur son propre territoire (cf. JAAC 62.52 consid. 9 p. 495). De plus, il sied de constater que, suite à la nouvelle demande du 11 juillet 2005, le SPOP n'a nullement autorisé l'intéressé, dans son courrier du 2 septembre 2005, à séjourner sur son territoire pendant la durée de la procédure.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l'autorité de première instance s'avère donc parfaitement fondée quant à son principe.</w:t>
      </w:r>
    </w:p>
    <w:p>
      <w:r>
        <w:rPr>
          <w:b/>
        </w:rPr>
        <w:t>E. 4.1</w:t>
      </w:r>
    </w:p>
    <w:p>
      <w:r>
        <w:t>La décision de renvoi de Suisse étant confirmée dans son principe, il convient encore d'examiner si l'exécution du renvoi est possible, licite et raisonnablement exigible, au sens de l'art. 14a al. 2, 3 et 4 LSEE.</w:t>
      </w:r>
    </w:p>
    <w:p>
      <w:r>
        <w:rPr>
          <w:b/>
        </w:rPr>
        <w:t>E. 4.2</w:t>
      </w:r>
    </w:p>
    <w:p>
      <w:r>
        <w:t>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(art. 14a al. 2 LSEE).</w:t>
      </w:r>
    </w:p>
    <w:p>
      <w:r>
        <w:rPr>
          <w:b/>
        </w:rPr>
        <w:t>E. 4.3</w:t>
      </w:r>
    </w:p>
    <w:p>
      <w:r>
        <w:t>S'agissant de la licéité de l'exécution du renvoi de l'intéressé dans son pays, il convient d'examiner - sous l'angle notamment de l'art. 3 CEDH - si le renvoi du recourant dans son pays d'origine serait contraire aux engagements de la Suisse relevant du droit international. En l'espèce, l'intéressé n'a pas allégué l'existence d'un risque personnel, concret et sérieux d'être soumis à un traitement tombant sous le coup de l'art. 3 CEDH. Dès lors, l'exécution de son renvoi ne transgresse aucun engagement pris par la Suisse relevant du droit international, de sorte qu'elle s'avère licite (art. 14a al. 3 LSEE). Au surplus, comme cela a été précisé ci-dessus, c'est primairement dans le cadre de l'examen de l'octroi d'une autorisation de séjour que le respect de l'art. 8 CEDH peut être invoqué. Or, il résulte des pièces du dossier que la CCRPE, dans son arrêt du 30 janvier 2007, s'est déjà prononcée sur cette question. Elle a relevé notamment que le recourant ne pouvait se prévaloir de cette disposition conventionnelle, dès lors qu'il était majeur et que le but de sa demande n'était de toute évidence pas de faire vie commune avec ses parents - lesquels vivaient au Canada - mais uniquement de régulariser sa situation.</w:t>
      </w:r>
    </w:p>
    <w:p>
      <w:r>
        <w:rPr>
          <w:b/>
        </w:rPr>
        <w:t>E. 4.4</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a d'autres atteintes graves et généralisées aux droits de l'homme (Walter Kälin, Grundriss des Asylverfahrens, Bâle/Francfort-sur-le-Main 1990, p. 26), mais aussi les personnes pour lesquelles un retour reviendrait à les mettre concrètement en danger, notamment parce qu'elles ne pourraient plus recevoir les soins dont elles ont besoin. En l'espèce, ni la situation régnant actuellement en République démocratique du Congo, ni la situation personnelle du recourant ne permettent à l'autorité de céans de conclure à une mise en danger concrète de l'intéressé en cas de renvoi dans son pays d'origine. En effet, celui-ci n'a aucunement allégué, ni démontré qu'il encourait pour sa personne, en cas de retour dans son pays d'origine, des risques supérieurs à ceux encourus par la population y résidant. Il y a dès lors lieu de considérer que l'exécution du renvoi du recourant est raisonnablement exigible (art. 14a al. 4 LSEE).</w:t>
      </w:r>
    </w:p>
    <w:p>
      <w:r>
        <w:rPr>
          <w:b/>
        </w:rPr>
        <w:t>E. 5</w:t>
      </w:r>
    </w:p>
    <w:p>
      <w:r>
        <w:t>Il ressort de ce qui précède que, par sa décision du 10 décembre 2003, l'ODM n'a ni violé le droit fédéral ni constaté des faits pertinents de manière inexacte ou incomplète; en outre, cette décision n'est pas inopportune (art. 49 PA). En conséquence, le recours est rejeté. Vu l'issue de la cause, il y aurait lieu de mettre des frais de procédure à la charge du recourant, conformément à l'art. 63 al. 1 PA. Toutefois, eu égard aux circonstances de la présente cause, en particulier à la situation financière de l'intéressé - laquelle ne s'est entre-temps pas améliorée - les frais de procédure sont entièrement remis (cf. art. 63 al. 1 in fine PA en relation avec l'art. 6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