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C-5953/2013 vom 26. Juni 2014</w:t>
      </w:r>
    </w:p>
    <w:p>
      <w:r>
        <w:t>Bundesverwaltungsgericht, 2014-06-26, FR</w:t>
      </w:r>
    </w:p>
    <w:p>
      <w:r>
        <w:rPr>
          <w:b/>
        </w:rPr>
        <w:t xml:space="preserve">Quelle: </w:t>
      </w:r>
      <w:r>
        <w:t>https://mcp.opencaselaw.ch/entscheid/bvger_C-5953_2013</w:t>
      </w:r>
    </w:p>
    <w:p>
      <w:r>
        <w:t>FR: TAF C-5953/2013 du 26 juin 2014</w:t>
      </w:r>
    </w:p>
    <w:p>
      <w:r>
        <w:t>IT: TAF C-5953/2013 del 26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son épouse B._______ ainsi que E._______, qui ont tous pris part à la procédure devant l'autorité inférieure, ont qualité pour recourir (art. 48 al. 1 PA). Présenté dans la forme et les délais prescrits par la loi, le recours est recevable (cf. art. 50 et 52 PA). 2.Les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tel qu'il se présente au moment où elle statue (cf. ATAF 2013/33 consid. 2). 3.La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TAF C-2989/2012 du 31 janvier 2013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 voir également l'ATF 135 II 1 consid. 1.1 et l'ATAF 2009/27 consid. 3 et jurispr.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ressortissants du Sri Lanka, les époux concernés et leurs enfants sont soumis à l'obligation du visa. 5.Au vu de l'ensemble des éléments du dossier, le Tribunal considère qu'il existe un doute fondé quant au but du séjour en Suisse envisagé par les requérants. 5.1 Ainsi qu'il est exposé à l'art. 5 par. 1 let. c du code frontières Schengen, qui énumère les conditions d'entrée dans l'Espace Schengen pour les ressortissant d'Etats tiers, la personne qui souhaite entrer dans l'Espace Schengen pour un séjour n'excédant pas trois mois sur une période de six mois doit notamment justifier l'objet et les conditions du séjour envisagé. 5.2 En l'occurrence, les recourants font valoir que leur pourvoi porte exclusivement sur la possibilité, pour les enfants C._______ et D._______, de pouvoir venir en Suisse pendant la durée d'un mois pour rendre visite à leur grand-mère, E._______. Pour cette raison, ils estiment que les objections juridiques soulevées par l'ODM dans sa décision du 18 septembre 2013 ne seraient pertinentes que si les deux parents eux-mêmes demandaient le visa en question (cf. mémoire de recours, p. 2). De son côté, l'autorité inférieure expose dans sa prise de position sur le recours avoir été amenée, par souci de cohérence, à rendre une décision englobant l'ensemble des membres de la famille, aux motifs que les requérants ont chacun déposé une demande de visa Schengen le 15 juillet 2013, que l'Ambassade de Suisse à Colombo a rendu quatre décisions de refus le 16 juillet 2013 - dont les requérants ont pris connaissance le 23 juillet 2013 - et que le contenu de l'opposition formée par A._______ le 13 août 2013 était imprécis. A ce sujet, dite autorité retient que si le prénommé s'est certes référé dans son opposition à ses deux enfants, il n'a pas pour autant expressément renoncé, au cours de cette procédure, à maintenir sa propre demande de visa (cf. préavis du 7 janvier 2014). Après avoir procédé à l'examen des pièces figurant au dossier, le Tribunal estime pouvoir se rallier à la position défendue par l'autorité inférieure. En premier lieu en effet, il y a lieu de constater que l'affirmation des recourants selon laquelle "il n'a jamais été question demander" que A._______ puisse également venir en Suisse (cf. mémoire de recours, p. 2) ne correspond aucunement à la réalité, au vu de la demande de visa qui a été déposée par le prénommé le 15 juillet 2013 auprès de l'Ambassade de Suisse à Colombo. En second lieu, il s'impose d'observer que les recourants expriment le souhait que B._______ puisse accompagner ses enfants en Suisse, du moment que l'un d'entre eux n'est âgé que de cinq ans (ibid.). Partant, l'on ne saurait reprocher à l'ODM d'avoir pris en considération l'ensemble des membres de la famille dans sa décision du 18 décembre 2013, cette manière de procéder s'avérant parfaitement justifiée dans ces circonstances. Dans ce contexte, les recourants laissent entrevoir dans leurs observations du 11 février 2014 (p. 2) la faculté de faire venir seuls les enfants, du moment qu'il existe des possibilités de transport assisté dans les avions. Pareille mise au point, qui porte sur les modalités du voyage envisagé, ne saurait toutefois justifier l'octroi des visas sollicités, pour les raisons qui seront évoquées plus loin (cf. consid. 6). 5.3 Cela étant, devant l'inconsistance des déclarations portant sur le cercle des personnes sollicitant un visa d'entrée, le Tribunal ne peut que considérer qu'il existe un doute fondé (au sens de l'art. 12 al. 2 let. c OEV) sur les motifs réels du séjour envisagé en Suisse et que les recourants n'ont pas été à même d'écarter ce doute dans le cadre de la procédure de recours. Aussi ne saurait-il retenir que le but du voyage en Suisse des intéressés soit suffisamment clair et défini pour permettre l'octroi d'un visa Schengen en leur faveur. Les conditions d'entrée prévues par le code frontières Schengen concernant le but du séjour envisagé n'étant pas remplies in casu, c'est donc de manière justifiée que l'ODM a écarté l'opposition du 13 août 2013 et confirmé les refus d'autorisation d'entrée dans l'Espace Schengen en faveur des intéressés.</w:t>
      </w:r>
    </w:p>
    <w:p>
      <w:r>
        <w:rPr>
          <w:b/>
        </w:rPr>
        <w:t>E. 6</w:t>
      </w:r>
    </w:p>
    <w:p>
      <w:r>
        <w:t>Même si le refus de visa est déjà fondé sur la base des considérants qui précédent, il paraît néanmoins opportun de se prononcer sur le risque migratoire non négligeable qui prévaut en la présente cause. Ainsi, dans ce contexte, il faut prendre en considération la qualité de vie et les conditions économiques et sociales difficiles que connaît l'ensemble de la population du Sri Lanka, pays qui a connu une guerre civile jusqu'en 2009 et dont le produit intérieur brut (PIB) par habitant s'élevait, 2012, à 2'923 US$. Après un important dynamisme de l'activité économique en 2010 et 2011, l'année 2012 a cependant marqué un ralentissement avec une croissance du PIB estimée à 6,4%, ce ralentissement étant notamment imputable à la morosité du contexte international et régional et au resserrement de la politique monétaire visant à répondre aux recommandations du Fonds monétaire international (FMI) (source: www.diplomatie.gouv.fr &gt; Dossiers pays et Zones géographiques &gt; Sri Lanka &gt; Présentation du Sri Lanka; mise à jour le 30 décembre 2013; site consulté en juin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familial et social préexistant (parenté, amis), comme cela est précisément le cas en l'espèce par la présence de E._______ sur le territoire helvétique. A cela s'ajoute que le Sri Lanka était en 2013 l'un des principaux pays de provenance des requérants d'asile en Suisse, avec 684 demandes enregistrées durant cette année, soit une progression de 38,5% par rapport à l'année 2012. Au cours du premier trimestre 2014, les ressortissants sri-lankais arrivent en troisième position avec 262 demandes déposées. Par ailleurs, si l'on se réfère à la statistique du mois de mai 2014, l'on constate que le Sri Lanka reste l'un des pays de provenance significatifs des personnes sollicitant l'asile en Suisse, avec 52 requêtes déposées durant ce mois, même s'il est vrai que ce chiffre affiche une sensible baisse (30%) par rapport au mois précédent (cf. Commentaire sur la statistique en matière d'asile 2013 et Commentaire sur la statistique en matière d'asile 1er trimestre 2014, documents établis par l'ODM respectivement les 10 janvier et 7 avril 2014, ainsi que Statistique en matière d'asile mai 2014, en ligne sur le site internet de cet office &gt; Documentation &gt; Faits et chiffres &gt; Statistiques en matière d'asile &gt; Statistiques annuelles et mensuelles; site consulté en juin 2014). Au vu de ces éléments, force est de reconnaître que le risque migratoire que présentent les requêtes de visa déposées par les intéressés en date du 15 juillet 2013 ne saurait être sous-estimé.</w:t>
      </w:r>
    </w:p>
    <w:p>
      <w:r>
        <w:rPr>
          <w:b/>
        </w:rPr>
        <w:t>E. 7</w:t>
      </w:r>
    </w:p>
    <w:p>
      <w:r>
        <w:t>Le Tribunal note par ailleurs que le désir exprimé par les recourants de pouvoir se rencontrer en Suisse pour une visite familiale ne constitue pas à lui seul un motif justifiant l'octroi des visas sollicités, à propos desquels ils ne sauraient au demeurant se prévaloir d'aucun droit (cf. consid. 3 supra).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8.Il sied encore de remarquer que les refus d'autorisation d'entrée ne remettent nullement en cause la bonne foi ou l'honnêteté de la personne qui, résidant régulièrement en Suisse, a invité des tiers domiciliés à l'étranger pour un séjour de visite et s'est engagée à garantir les frais y relatifs et le départ de ses invités. Les assurances données en la matière, comme celles formulées notamment sur le plan financier (cf. mémoire de recours, p. 2 in fine), sont effectivement prises en compte pour se prononcer sur la question de savoir si un visa peut être accordé au ressortissant étranger qui le sollicite. Cependant, elles ne peuvent être tenues pour décisives, dans la mesure où elles n'engagent pas les requérants eux-mêmes et ne permettent nullement d'exclure l'éventualité que ces derniers, une fois en Suisse, tentent d'y poursuivre durablement leur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Par surabondance, il convient encore d'observer qu'un refus d'autorisation d'entrée dans l'Espace Schengen prononcé par les autorités helvétiques n'a pas en l'occurrence pour conséquence d'empêcher les intéressés de se voir, puisqu'ils peuvent tout aussi bien se rencontrer hors de Suisse. A cela s'ajoute que ceux-ci ont la possibilité de maintenir leurs contacts familiaux par d'autres moyens, tels que la communication téléphonique et l'échange épistolaire. Il sied enfin de relever que les recourants n'ont pas invoqué de raisons susceptibles de justifier la délivrance d'un visa à validité territoriale limitée (cf. consid. 4.4 ci-avant).</w:t>
      </w:r>
    </w:p>
    <w:p>
      <w:r>
        <w:rPr>
          <w:b/>
        </w:rPr>
        <w:t>E. 10</w:t>
      </w:r>
    </w:p>
    <w:p>
      <w:r>
        <w:t>Compte tenu des considérants exposés ci-dessus, le Tribunal estime qu'il ne saurait être reproché à l'ODM d'avoir refusé la délivrance des autorisations d'entrée dans l'Espace Schengen en faveur des intéressés. Il s'ensuit que, par sa décision du 18 septembre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