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C-5937/2011 vom 22. Februar 2012</w:t>
      </w:r>
    </w:p>
    <w:p>
      <w:r>
        <w:t>Bundesverwaltungsgericht, 2012-02-22, DE</w:t>
      </w:r>
    </w:p>
    <w:p>
      <w:r>
        <w:rPr>
          <w:b/>
        </w:rPr>
        <w:t xml:space="preserve">Quelle: </w:t>
      </w:r>
      <w:r>
        <w:t>https://mcp.opencaselaw.ch/entscheid/bvger_C-5937_2011</w:t>
      </w:r>
    </w:p>
    <w:p>
      <w:r>
        <w:t>FR: TAF C-5937/2011 du 22 février 2012</w:t>
      </w:r>
    </w:p>
    <w:p>
      <w:r>
        <w:t>IT: TAF C-5937/2011 del 22 febbraio 2012</w:t>
      </w:r>
    </w:p>
    <w:p>
      <w:pPr>
        <w:pStyle w:val="Heading2"/>
      </w:pPr>
      <w:r>
        <w:t>Regeste</w:t>
      </w:r>
    </w:p>
    <w:p>
      <w:r>
        <w:t>Schengen-Visum</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Verwaltungsverfahrensgesetzes vom 20. Dezember 1968 (VwVG, SR 172.021), welche von einer in Art. 33 VGG aufgeführten Behörde erlassen wurden. Darunter fallen u.a. Verfügungen des BFM, mit denen die Erteilung eines Schengenvisums verweigert wird. In dieser Materie entscheidet das Bundesverwaltungsgericht endgültig (Art. 83 Bst. c Ziff. 1 des Bundesgerichtsgesetzes vom 17. Juni 2005 [BGG, SR 173.110]).</w:t>
      </w:r>
    </w:p>
    <w:p>
      <w:r>
        <w:rPr>
          <w:b/>
        </w:rPr>
        <w:t>E. 1.2</w:t>
      </w:r>
    </w:p>
    <w:p>
      <w:r>
        <w:t>Sofern das Verwaltungsgerichtsgesetz nichts anderes bestimmt, richtet sich das Verfahren vor dem Bundesverwaltungsgericht nach dem VwVG (Art. 37 VGG).</w:t>
      </w:r>
    </w:p>
    <w:p>
      <w:r>
        <w:rPr>
          <w:b/>
        </w:rPr>
        <w:t>E. 1.3</w:t>
      </w:r>
    </w:p>
    <w:p>
      <w:r>
        <w:t>Die Beschwerdeführerin ist gemäss Art. 48 Abs. 1 VwVG zur Beschwerde berechtigt. Auf die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sind grundsätzlich die tatsächlichen Verhältnisse zum Zeitpunkt seines Entscheides (vgl. BVGE 2011/1 E. 2 mit Hinweisen).</w:t>
      </w:r>
    </w:p>
    <w:p>
      <w:r>
        <w:rPr>
          <w:b/>
        </w:rPr>
        <w:t>E. 3</w:t>
      </w:r>
    </w:p>
    <w:p>
      <w:r>
        <w:t>Der angefochtenen Verfügung liegt das Gesuch einer afghanischen Staatsangehörigen und ihres Sohnes um Erteilung eines Visums für einen dreimonatigen Aufenthalt in der Schweiz zugrunde. Da sich die Gesuchsteller nicht auf die EU/EFTA-Personenfreizügigkeitsabkommen berufen können und die beabsichtigte Aufenthaltsdauer drei Monate nicht überschreitet, fällt die vorliegende Streitsache in den persönlichen und sachlichen Anwendungsbereich der Schengen-Assozierungsabkommen, mit denen die Schweiz den Schengen-Besitzstand und die dazugehörigen gemeinschaftsrechtlichen Rechtsakte übernommen hat. Das Ausländergesetz vom 16. Dezember 2005 (AuG, SR 142.20) und seine Ausführungsverordnung gelangen nur soweit zur Anwendung, als die Schengen-Assozierungsabkommen keine abweichenden Bestimmungen enthalten (Art. 2 Abs. 2 bis Abs. 5 AuG).</w:t>
      </w:r>
    </w:p>
    <w:p>
      <w:r>
        <w:rPr>
          <w:b/>
        </w:rPr>
        <w:t>E. 4</w:t>
      </w:r>
    </w:p>
    <w:p>
      <w:r>
        <w:t>Die Voraussetzungen für die Erteilung eines Visums präsentieren sich im Anwendungsbereich der genannten Rechtsgrundlagen wie folgt:</w:t>
      </w:r>
    </w:p>
    <w:p>
      <w:r>
        <w:rPr>
          <w:b/>
        </w:rPr>
        <w:t>E. 4.1</w:t>
      </w:r>
    </w:p>
    <w:p>
      <w:r>
        <w:t>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135 II 1 E. 1.1 mit Hinweisen).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 vermittelt auch das Schengen-Recht nicht (a.M. Philipp Egli / Tobias D. Meyer, in: Martina Caroni / Thomas Gächter / Daniela Thurn­herr [Hrsg.], Stämpflis Handkommentar zum Bundesgesetz über die Auslän­derinnen und Ausländer, Bern 2010, Art. 5 N. 3 f.).</w:t>
      </w:r>
    </w:p>
    <w:p>
      <w:r>
        <w:rPr>
          <w:b/>
        </w:rPr>
        <w:t>E. 4.2</w:t>
      </w:r>
    </w:p>
    <w:p>
      <w:r>
        <w:t>Angehörige von Drittstaaten dürfen über die Aussengrenzen des Schengen-Raums für einen Aufenthalt von höchstens drei Monaten je Sechsmonatszeitraum einreisen, wenn sie im Besitz gültiger Reisedoku­mente sind, die zum Grenzübertritt berechtigen. Ferner benötigen sie ein Vi­sum, falls ein solches nach Massgabe der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erforderlich ist. Kein Visum benötigen Drittstaatsangehörige, die Inhaber eines gülti­gen Aufenthaltstitels sind oder über ein gültiges Visum für den längerfristi­gen Aufenthalt verfügen (vgl. Art. 5 Abs. 1 Bst. a AuG, Art. 2 Abs. 1 der Ver­ordnung vom 22. Oktober 2008 über die Einreise und die Visumertei­lung [VEV, SR 142.204] i.V.m. Art. 5 Abs. 1 Bst. a und b der Verordnung (EG) Nr. 562/2006 des Europäischen Parlaments und des Rates vom 15. März 2006 über einen Gemeinschaftskodex für das Überschreiten der Grenzen durch Personen [nachfolgend: Schengener Grenzkodex, SGK, ABl. L 105 vom 13.04.2006, S. 1-32], Art. 4 VEV).</w:t>
      </w:r>
    </w:p>
    <w:p>
      <w:r>
        <w:rPr>
          <w:b/>
        </w:rPr>
        <w:t>E. 4.3</w:t>
      </w:r>
    </w:p>
    <w:p>
      <w:r>
        <w:t>Im Weiteren müssen Drittstaatsangehörige den Zweck und die Um­stände ihres beabsichtigten Aufenthalts belegen und hierfür über ausrei­chende finanzielle Mittel verfügen (Art. 5 Abs. 1 Bst. b AuG, Art. 2 Abs. 1 VEV, Art. 5 Abs. 1 Bst. c und Abs. 3 SGK sowie Art. 14 Abs. 1 Bst. a-c der Verordnung [EG] Nr. 810/2009 des Europäischen Parlaments und des Ra­tes vom 13. Juli 2009 über einen Visakodex der Gemeinschaft [nachfol­gend: Visakodex]). Namentlich haben sie in diesem Zusammen­hang zu belegen, dass sie den Schengen-Raum vor Ablauf des bewilli­gungsfreien Aufenthaltes verlassen, bzw. ausreichende Gewähr für eine fristgerechte Wiederausreise zu bieten (Art. 14 Abs. 1 Bst. d und Art. 21 Abs. 1 Visakodex sowie Art. 5 Abs. 2 AuG; vgl. dazu Philipp Egli / Tobias D. Meyer, a.a.O. Art. 5 N. 33). Weiterhin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(Art. 5 Abs. 1 Bst. c AuG, Art. 5 Abs. 1 Bst. d und e SGK).</w:t>
      </w:r>
    </w:p>
    <w:p>
      <w:r>
        <w:rPr>
          <w:b/>
        </w:rPr>
        <w:t>E. 4.4</w:t>
      </w:r>
    </w:p>
    <w:p>
      <w:r>
        <w:t>Eine Gefahr für die öffentliche Ordnung im Sinne von Art. 5 Abs. 1 Bst. e SGK ist auch dann anzunehmen, wenn die drittstaatsangehörige Per­son nicht bereit ist, das Hoheitsgebiet des Schengen-Raums fristge­recht wie­der zu verlassen (vgl. dazu Philipp Egli / Tobias D. Meyer, a.a.O., Art. 5 N. 33; ferner Urteil des deutschen Bundesverwaltungsge­richts 1 C. 1.10 vom 11. Januar 2011 Rz. 29). Die Behörden haben daher zu prüfen und drittstaatsangehörige Personen zu belegen, dass die Ge­fahr einer rechtswidrigen Einwanderung oder einer nicht fristgerechten Aus­reise nicht besteht (Art. 14 Abs. 1 Bst. d und Art. 21 Abs. 1 Visako­dex). Die Gewähr der gesicherten Wiederausreise, wie sie Art. 5 Abs. 2 AuG verlangt, wenn nur ein vorübergehender Aufenthalt vorgesehen ist, steht mit dieser Regelung im Einklang (vgl. BVGE 2009/27 E. 5 mit Hervor­hebung des Zusammenhangs zum Einreiseerfordernis des beleg­ten Aufenthaltszwecks nach Art. 5 Abs. 1 Bst. c SGK).</w:t>
      </w:r>
    </w:p>
    <w:p>
      <w:r>
        <w:rPr>
          <w:b/>
        </w:rPr>
        <w:t>E. 4.5</w:t>
      </w:r>
    </w:p>
    <w:p>
      <w:r>
        <w:t>Sind die vorerwähnten Einreisevoraussetzungen (Visum ausgenom­men) nicht erfüllt, darf ein für den gesamten Schengen-Raum geltendes "einheitliches Visum" (Art. 2 Ziff. 3 Visakodex) nicht erteilt werden (Art. 12 VEV, Art. 32 SGK). Hält es jedoch ein Mitgliedstaat aus humanitären Grün­den, aus Gründen des nationalen Interesses oder aufgrund internatio­naler Verpflichtungen für erforderlich, so ist er berechtigt, der dritt­staatsangehörigen Person, welche die ordentlichen Einreisevorausset­zungen nicht erfüllt, ausnahmsweise ein "Visum mit räum­lich beschränkter Gültigkeit" zu erteilen (Art. 2 Ziff. 4 Visakodex). Die­ses Visum ist grundsätzlich nur für das Hoheitsgebiet des ausstellen­den Staates gültig (Art. 32 i.V.m. Art. 25 Abs. 1 Bst. a Visakodex; unter den­selben Voraussetzungen kann einer drittstaatsangehörigen Person die Einreise an den Aussengrenzen gestattet werden, vgl. Art. 5 Abs. 4 Bst. c SGK).</w:t>
      </w:r>
    </w:p>
    <w:p>
      <w:r>
        <w:rPr>
          <w:b/>
        </w:rPr>
        <w:t>E. 5.1</w:t>
      </w:r>
    </w:p>
    <w:p>
      <w:r>
        <w:t>Die Gesuchsteller unterliegen als afghanische Staatsangehörige der Vi­sumspflicht (Anhang I zur Verordnung (EG) Nr. 539/2001 des Rates vom 15. März 2001). Bei der Prüfung der Einreisevoraussetzungen nach Art. 5 Abs. 1 SGK steht die Frage der gesicherten Wiederausreise im Vor­dergrund, welche die Vorinstanz aufgrund der allgemeinen Lage im Heimat­land sowie der persönlichen Verhältnisse der Gesuchsteller an­zweifelt. Dazu lassen sich in der Regel keine gesicherten Feststellungen, sondern lediglich Prognosen treffen. Dabei sind sämtliche Umstände des konkreten Einzelfalles zu würdigen.</w:t>
      </w:r>
    </w:p>
    <w:p>
      <w:r>
        <w:rPr>
          <w:b/>
        </w:rPr>
        <w:t>E. 5.2</w:t>
      </w:r>
    </w:p>
    <w:p>
      <w:r>
        <w:t>Anhaltspunkte zur Beurteilung der Gewähr für eine fristgerechte Wie­derausreise können sich aus der allgemeinen Situation im Herkunfts­land der Besucherin oder des Besuchers ergeben. Einreisegesuche von Bürgerinnen und Bürgern aus Staaten bzw. Regionen mit politisch oder wirt­schaftlich vergleichsweise ungünstigen Verhältnissen können darauf hin­deuten, dass die persönliche Interessenlage in solchen Fällen nicht mit dem Ziel und Zweck einer zeitlich befristeten Einreisebewilligung in Ein­klang steht.</w:t>
      </w:r>
    </w:p>
    <w:p>
      <w:r>
        <w:rPr>
          <w:b/>
        </w:rPr>
        <w:t>E. 5.3</w:t>
      </w:r>
    </w:p>
    <w:p>
      <w:r>
        <w:t>Die Sicherheitslage in Afghanistan hat sich in den letzten Jahren über alle Regionen hinweg verschlechtert. Trotz immer schärferen Sicherheitsmassnahmen nehmen Bombenanschläge, Selbstmordattentate und Raketenbeschuss zu, und zahlreiche zivile Tote sind zu beklagen. Was die humanitäre Lage betrifft, so zählt Afghanistan zu den ärmsten Ländern der Erde und ist das ärmste Land ausserhalb Afrikas. Mangels anderweitiger Erwerbsmöglichkeiten sind 80% der Bevölkerung im landwirtschaftlichen Bereich tätig, wobei der Mohnanbau eine erhebliche Rolle spielt. Trotz Rückgang hat die afghanische Drogenwirtschaft weiterhin einen Weltmarktanteil am Opium- und Heroinhandel von 90%. Trotz positiver wirtschaftlicher Entwicklung lag das Bruttoinlandprodukt 2010 bei USD 415 pro Kopf. Durch den Bau von Strassen, Flughäfen sowie durch die Eröffnung der ersten afghanischen Eisenbahnstrecke Ende 2010 konnte zwar die infrastrukturelle Anbindung des Landes verbessert werden. Im ländlichen Raum gestaltet sich die wirtschaftliche Entwicklung angesichts mangelnder Infrastruktur, fehlender Erwerbsmöglichkeiten ausserhalb der Landwirtschaft und geringem Ausbildungsstand (rund 90% Analphabeten) schwierig. Vor diesem Hintergrund besteht bei der afghanischen Bevölkerung vermehrt die Tendenz zur Auswanderung, was sich in den hiesigen Asylstatistiken entsprechend abzeichnet. So steht Afghanistan mit 1'052 Asylgesuchen im Jahr 2011 an fünfter Stelle. Dabei ist die Anzahl Asylsuchender im Vergleich zum Vorjahr um 57% gestiegen. Für Rückkehrer aus Europa besteht zudem ein erhöhtes Risiko, gleich nach der Ankunft entführt oder überfallen zu werden (Quellen: www.auswaertiges-amt.de, Länder, Reise und Sicherheit &gt; Afghanistan &gt; allgemeine Seite: Stand November 2011; &gt; Wirtschaft: Stand Juli 2011; &gt; Wirtschaftsdatenblatt: Stand Juli 2010, allesamt besucht im Januar 2011; www.bfm.admin.ch, Dokumentation, Zahlen und Fakten &gt; Asylstatistik &gt; Kommentierte Asylstatistik 2011; BVGE 2011/7).</w:t>
      </w:r>
    </w:p>
    <w:p>
      <w:r>
        <w:rPr>
          <w:b/>
        </w:rPr>
        <w:t>E. 5.4</w:t>
      </w:r>
    </w:p>
    <w:p>
      <w:r>
        <w:t>Bei der Risikoanalyse sind allerdings nicht nur die erwähnten allgemeinen Umstände und Erfahrungen, sondern auch sämtliche Gesichtspunkte des konkreten Einzelfalles zu berücksichtigen. Obliegt einer gesuchstellenden Person im Heimatland beispielsweise eine besondere, berufliche, gesellschaftliche oder familiäre Verantwortung, kann dieser Umstand durchaus die Prognose für eine anstandslose Wiederausreise begünstigen. Umgekehrt muss bei Personen, die in ihrer Heimat keine besonderen Verpflichtungen haben, das Risiko für ein ausländerrechtlich nicht regelkonformes Verhalten (nach bewilligter Einreise zu einem Besuchsaufenthalt) hoch eingeschätzt werden. Erfahrungsgemäss wird die Tendenz zur Auswanderung dort noch begünstigt, wo bereits ein soziales Beziehungsnetz (Verwandte, Freunde) im Ausland besteht. Zudem rechtfertigt sich im vorliegenden Fall, angesichts der ausserordentlich schwierigen Lage, in der sich Afghanistan befindet, ein vergleichsweise strenger Massstab bei der Beurteilung der gesicherten Wiederausreise.</w:t>
      </w:r>
    </w:p>
    <w:p>
      <w:r>
        <w:rPr>
          <w:b/>
        </w:rPr>
        <w:t>E. 6.1</w:t>
      </w:r>
    </w:p>
    <w:p>
      <w:r>
        <w:t>Bei den Gesuchstellern handelt es sich um die 49-jährige verwitwete Mutter mit ihrem 16-jährigen Sohn. Über die familiäre Situation im Heimatland ist einzig bekannt, dass die Gesuchstellerin drei weitere Kinder hat, welche bereits älter sind und sich selber versorgen können. Besondere familiäre oder gesellschaftliche Verpflichtungen, welche die Gesuchstellerin ernsthaft von einer Emigration abzuhalten vermöchten, sind keine ersichtlich. Kommt hinzu, dass ihr jüngster Sohn, welcher noch auf sie angewiesen ist, sie in die Schweiz begleiten würde. Nicht anders präsentiert sich die berufliche Situation. Die Gesuchstellerin gibt auf dem Visumsantrag an, Hausfrau zu sein. Den Angaben der Gastgeberin zufolge sind die Kinder erwerbstätig. Anscheinend erhalten die Gesuchsteller von den erwerbstätigen Kindern bzw. Geschwistern die nötige finanzielle Hilfe zur Bestreitung des Lebensunterhalts. Aufgrund der derzeitigen Aktenlage kann folglich nicht davon ausgegangen werden, die beiden eingeladenen Personen befänden sich in einer besonders vorteilhaften und stabilen wirtschaftlichen Situation. Soweit auf den Besitz eigener Landwirtschaft hingewiesen wurde, gilt es darauf hinzuweisen, dass sich mangels näherer Angaben einerseits nicht eruieren lässt, inwiefern dies zutrifft und wie allenfalls Eigentumsverhältnisse, Nutzungsart sowie Umfang ausgestaltet sind. Andererseits fällt Grundbesitz mit der Ausreise nicht weg. Dass auf Seiten der Gesuchsteller eine erhebliche Flexibilität besteht, deutet im Übrigen nur schon der Umstand hin, dass sie einen Besuchsaufenthalt von drei Monaten anstreben. Angesichts dieser Sachlage sind die Zweifel der Vorinstanz an einer fristgerechten Rückkehr berechtigt.</w:t>
      </w:r>
    </w:p>
    <w:p>
      <w:r>
        <w:rPr>
          <w:b/>
        </w:rPr>
        <w:t>E. 6.2</w:t>
      </w:r>
    </w:p>
    <w:p>
      <w:r>
        <w:t>Für erhöhte Emigrationstendenzen spricht im konkreten Fall des Weiteren, dass bereits die Gastgeberin und Schwester der Gesuchstellerin in die Schweiz eingereist ist und mit ihren Kindern hier lebt. Vor diesem Hintergrund erscheint die Annahme keineswegs abwegig, dass mit dem Einreisebegehren nicht bloss ein Besuchsaufenthalt von drei Monaten, sondern eine längere Anwesenheit in der Schweiz beabsichtigt werden könnte. Der durchaus verständliche Wunsch der Beschwerdeführerin, in dieser schweren Zeit familiären Beistand zu erhalten, hat angesichts des vorliegenden Ergebnisses in den Hintergrund zu treten.</w:t>
      </w:r>
    </w:p>
    <w:p>
      <w:r>
        <w:rPr>
          <w:b/>
        </w:rPr>
        <w:t>E. 7</w:t>
      </w:r>
    </w:p>
    <w:p>
      <w:r>
        <w:t>Nach dem Gesagten durfte die Vorinstanz daher zu Recht davon ausgehen, die Wiederausreise der Gesuchsteller sei im Sinne der massgeblichen Bestimmungen nicht gesichert. Zwar lässt sich die Einschätzung nicht zu einer gesicherten Feststellung verdichten; sie reicht aber aus, um die Erteilung eines Einreisevisums, auf das kein Rechtsanspruch besteht, abzulehnen. Daran ändert auch nichts, dass die Gastgeberin sowie der Afghanische Kulturverein in der Schweiz für die rechtzeitige Rückreise der eingeladenen Person garantieren. Deren Integrität wird dabei in keiner Art und Weise in Zweifel gezogen. Indessen sind bei der Abwägung des Risikos nicht so sehr die Einstellungen von Gastgebern und weiteren Garanten, sondern in erster Linie das mögliche Verhalten des Gastes selbst von Bedeutung. Nur Letzterer ist in der Lage hinreichend Gewähr für eine fristgerechte Wiederausreise zu bieten (vgl. zum Ganzen BVGE 2009/27 E. 9).</w:t>
      </w:r>
    </w:p>
    <w:p>
      <w:r>
        <w:rPr>
          <w:b/>
        </w:rPr>
        <w:t>E. 8</w:t>
      </w:r>
    </w:p>
    <w:p>
      <w:r>
        <w:t>Indem die Beschwerdeführerin in ihrer Rechtsmitteleingabe betont, der beabsichtigte Besuch ihrer Schwester solle ihr helfen, über den schmerzlichen Verlust ihres Ehegatten hinweg zu kommen, beruft sie sich sinngemäss auf humanitäre Gründe. Solche können unter Umständen (vgl. E.4.5 vorstehend) selbst bei Annahme von Einreisehindernissen einen Schengen-Mitgliedstaat dazu veranlassen, ein Visum - allerdings mit beschränkter räumlicher Gültigkeit - auszustellen. Voraussetzung ist aber auch hier, dass eine Interesseabwägung vorgenommen wird. Die öffentlichen Interessen an einer Verhinderung der Einreise zur Wahrung zentraler ausländerrechtlicher Vorschriften sind nach dem bereits Gesagten vorliegend als gewichtig einzustufen. Dagegen vermögen die persönlichen Interessen der Beschwerdeführerin nicht aufzukommen. Denn indem sie geltend macht, wegen familiärer Verpflichtungen und einer dort mangelhaften Sicherheitslage nicht mit ihren Kindern nach Afghanistan reisen zu können, ist noch nicht erstellt, dass ein Besuch ihrer Schwester hier in der Schweiz die einzige Möglichkeit darstellt, ihr in ihrer schwierigen Lebenssituation wirksam helfen zu können.</w:t>
      </w:r>
    </w:p>
    <w:p>
      <w:r>
        <w:rPr>
          <w:b/>
        </w:rPr>
        <w:t>E. 9</w:t>
      </w:r>
    </w:p>
    <w:p>
      <w:r>
        <w:t>Aus diesen Darlegungen folgt, dass die angefochtene Verfügung rechtmässig ist (Art. 49 VwVG). Die Beschwerde ist demzufolge abzuweisen.</w:t>
      </w:r>
    </w:p>
    <w:p>
      <w:r>
        <w:rPr>
          <w:b/>
        </w:rPr>
        <w:t>E. 10</w:t>
      </w:r>
    </w:p>
    <w:p>
      <w:r>
        <w:t>Bei diesem Ausgang des Verfahrens wird die unterliegende Beschwerdeführerin kostenpflichtig (Art. 63 Abs. 1 VwVG i.V.m. Art. 1, 2 und 3 Bst. b des Reglements vom 21. Februar 2008 über die Kosten und Entschädigungen vor dem Bundesverwaltungsgericht [VGKE, SR 173.320.2]). Dispositiv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