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C-5933/2009 vom 12. Januar 2010</w:t>
      </w:r>
    </w:p>
    <w:p>
      <w:r>
        <w:t>Bundesverwaltungsgericht, 2010-01-12, DE</w:t>
      </w:r>
    </w:p>
    <w:p>
      <w:r>
        <w:rPr>
          <w:b/>
        </w:rPr>
        <w:t xml:space="preserve">Quelle: </w:t>
      </w:r>
      <w:r>
        <w:t>https://mcp.opencaselaw.ch/entscheid/bvger_C-5933_2009</w:t>
      </w:r>
    </w:p>
    <w:p>
      <w:r>
        <w:t>FR: TAF C-5933/2009 du 12 janvier 2010</w:t>
      </w:r>
    </w:p>
    <w:p>
      <w:r>
        <w:t>IT: TAF C-5933/2009 del 12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der Visumpflicht.</w:t>
      </w:r>
    </w:p>
    <w:p>
      <w:r>
        <w:rPr>
          <w:b/>
        </w:rPr>
        <w:t>E. 6.1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6.2</w:t>
      </w:r>
    </w:p>
    <w:p>
      <w:r>
        <w:t>Die Gesuchstellerin stammt aus Thailand. Die Wirtschaft dieses Landes ist nach Bewältigung der Asienkrise von 1997 zwar wieder zu neuem Wachstum gelangt. So betrug im Jahr 2007 das Wirtschaftswachstum robuste 4.8%. Im Jahr 2008 wurde dagegen, verursacht insbesondere durch die internationale Finanzkrise, ein Abwärtstrend spürbar. Das Wirtschaftswachstum belief sich nach einem guten Start (+ 6% im ersten Quartal) und starken Einbrüchen im vierten Quartal (- 4.3%) noch auf insgesamt 2.3%. Die grundsätzlich ermutigenden wirtschaftlichen Entwicklungen seit der Asienkrise können aber nicht über die Tatsache hinwegtäuschen, dass nach wie vor breite Bevölkerungsschichten von vergleichsweise schwierigen ökonomischen und sozialen Lebensbedingungen betroffen sind. Das Bruttoinlandprodukt pro Kopf der Bevölkerung betrug im Jahr 2008 nur gerade 4'081 USD, im Jahr 2008 noch 3'845 USD (vgl. zu den wirtschaftlichen Indizes die Länder- und Reiseinformationen auf der Website des Auswärtigen Amtes, Länder- und Reiseinformationen &gt; Thailand &gt; Wirtschaft, &lt;http://www.auswaertiges-amt.de&gt;, Stand: Oktober 2009, besucht im Januar 2010).</w:t>
      </w:r>
    </w:p>
    <w:p>
      <w:r>
        <w:rPr>
          <w:b/>
        </w:rPr>
        <w:t>E. 6.3</w:t>
      </w:r>
    </w:p>
    <w:p>
      <w:r>
        <w:t>In Anbetracht der allgemeinen Situation gewichtete die Vorinstanz somit das Risiko einer nicht fristgerechten Wiederausreise zu Recht als relativ hoch. Solche Umstände entbinden die Vorinstanz jedoch nicht von einer einzelfallbezogenen Beurteilung. Namentlich können berufliche, gesellschaftliche oder familiäre Verpflichtungen die Prognose einer anstandslosen Wiederausreise begünstigen.</w:t>
      </w:r>
    </w:p>
    <w:p>
      <w:r>
        <w:rPr>
          <w:b/>
        </w:rPr>
        <w:t>E. 7.1</w:t>
      </w:r>
    </w:p>
    <w:p>
      <w:r>
        <w:t>Bei der Gesuchstellerin handelt es sich um eine 28-jährige, ledige Frau. Über ihre persönliche Situation ist bekannt, dass sie Mutter eines vierjährigen Kindes ist. Der Umstand, dass die Gesuchstellerin Mutter eines minderjährigen Kindes ist, lässt darauf schliessen, dass sie die elterliche Obhut hat und auch wirtschaftlich für ihr Kind aufkommen muss, denn der Vater des Kindes wird weder im Einreisegesuch noch in den übrigen Unterlagen jemals erwähnt. Damit ist zwar von familiären Verpflichtungen der Gesuchstellerin (dem anlässlich ihres geplanten Besuchsaufenthalts zurückbleibenden Kindes gegenüber) auszugehen. Solche Verhältnisse bilden für sich allein aber noch keine Garantie für eine fristgerechte und anstandslose Wiederausreise. Wie in der Rechtsmitteleingabe geltend gemacht wird, soll die Betreuung bei Abwesenheit der Gesuchstellerin denn auch von ihren Eltern übernommen werden. Sodann zeigt die Erfahrung, dass zurückbleibende Angehörige gerade in Situationen angespannter wirtschaftlicher Verhältnisse nicht verlässlich davon abhalten können, den Entscheid für eine Emigration zu fällen. Eine Trennung von Familienangehörigen kann sogar von der Hoffnung gesteuert sein, diese aus dem Ausland besser unterstützen und allenfalls später nachziehen zu können.</w:t>
      </w:r>
    </w:p>
    <w:p>
      <w:r>
        <w:rPr>
          <w:b/>
        </w:rPr>
        <w:t>E. 7.2</w:t>
      </w:r>
    </w:p>
    <w:p>
      <w:r>
        <w:t>Die Gesuchstellerin war zum Zeitpunkt der Visumantragsstellung nicht erwerbstätig; der Beschwerdeführer gab gegenüber der zuständigen Migrationsbehörde an, die Gesuchstellerin sei Hausfrau. Es liegen auch keine Belege vor, die zuverlässige Rückschlüsse auf die wirtschaftlichen Verhältnisse, in denen die Gesuchstellerin lebt, ziehen lassen. Aufgrund der bestehenden Akten kann jedenfalls nicht davon ausgegangen werden, die Beschwerdeführerin befinde sich in vorteilhaften und stabilen wirtschaftlichen Verhältnissen, die sie nachhaltig davon abzuhalten vermöchten, eine Emigration in die Schweiz in Erwägung zu ziehen.</w:t>
      </w:r>
    </w:p>
    <w:p>
      <w:r>
        <w:rPr>
          <w:b/>
        </w:rPr>
        <w:t>E. 8.1</w:t>
      </w:r>
    </w:p>
    <w:p>
      <w:r>
        <w:t>An dieser Risikoeinschätzung vermögen auch die vom Beschwerdeführer eingereichten Belege betreffend seine persönliche finanzielle Situation sowie seine Garantieerklärung vom 7. August 2009 nichts zu ändern. Die Integrität des Beschwerdeführers in seiner Eigenschaft als Gastgeber wird in keiner Weise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C-6950/2007 vom 7. November 2008 E. 8).</w:t>
      </w:r>
    </w:p>
    <w:p>
      <w:r>
        <w:rPr>
          <w:b/>
        </w:rPr>
        <w:t>E. 8.2</w:t>
      </w:r>
    </w:p>
    <w:p>
      <w:r>
        <w:t>Aufgrund des Gesagten kommt der vom Beschwerdeführer geltend gemachten Tatsache, seine früheren Gäste aus Thailand seien ebenfalls stets fristgerecht in ihr Heimatland zurückgekehrt, keine Bedeutung zu. Vielmehr bestehen Zweifel am eigentlichen Aufenthaltszweck der Gesuchstellerin aufgrund ihrer Äusserungen anlässlich der Befragung durch die Schweizer Botschaft in Bangkok, sie habe einen Freund ("boyfriend") in Deutschland, den sie aber nicht besuchen könne, da dieser verheiratet sei. In dieselbe Richtung deuten ebenfalls ihre spärlich vorhandenen Kenntnisse über ihre Verwandten in der Schweiz.</w:t>
      </w:r>
    </w:p>
    <w:p>
      <w:r>
        <w:rPr>
          <w:b/>
        </w:rPr>
        <w:t>E. 9</w:t>
      </w:r>
    </w:p>
    <w:p>
      <w:r>
        <w:t>Demnach ist nicht zu beanstanden, dass die Vorinstanz das öffentliche Interesse sowie die Beachtung der geltenden Bestimmungen entsprechend gewichtete und der Gesuchstellerin die Einreise verweigerte. Die angefochtene Verfügung verletzt daher das Bundesrecht nicht. Soweit für das vorliegende Urteil massgebend wurde der rechtserhebliche Sachverhalt richtig und vollständig festgestellt, und die Vorinstanz hat das ihr zustehende Ermessen pflichtgemäss ausgeübt (vgl. Art. 49 VwVG).</w:t>
      </w:r>
    </w:p>
    <w:p>
      <w:r>
        <w:rPr>
          <w:b/>
        </w:rPr>
        <w:t>E. 10</w:t>
      </w:r>
    </w:p>
    <w:p>
      <w:r>
        <w:t>Entsprechend dem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