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C-5913/2008 vom 18. Juni 2010</w:t>
      </w:r>
    </w:p>
    <w:p>
      <w:r>
        <w:t>Bundesverwaltungsgericht, 2010-06-18, IT</w:t>
      </w:r>
    </w:p>
    <w:p>
      <w:r>
        <w:rPr>
          <w:b/>
        </w:rPr>
        <w:t xml:space="preserve">Quelle: </w:t>
      </w:r>
      <w:r>
        <w:t>https://mcp.opencaselaw.ch/entscheid/bvger_C-5913_2008</w:t>
      </w:r>
    </w:p>
    <w:p>
      <w:r>
        <w:t>FR: TAF C-5913/2008 du 18 juin 2010</w:t>
      </w:r>
    </w:p>
    <w:p>
      <w:r>
        <w:t>IT: TAF C-5913/2008 del 18 giugno 2010</w:t>
      </w:r>
    </w:p>
    <w:p>
      <w:pPr>
        <w:pStyle w:val="Heading2"/>
      </w:pPr>
      <w:r>
        <w:t>Regeste</w:t>
      </w:r>
    </w:p>
    <w:p>
      <w:r>
        <w:t>Entrata</w:t>
      </w:r>
    </w:p>
    <w:p>
      <w:pPr>
        <w:pStyle w:val="Heading2"/>
      </w:pPr>
      <w:r>
        <w:t>Erwägungen</w:t>
      </w:r>
    </w:p>
    <w:p>
      <w:r>
        <w:rPr>
          <w:b/>
        </w:rPr>
        <w:t>E. 1.1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Il ricorrente possiede la nazionalità italiana e può dunque prevalersi dell'ALC. Ai sensi dell'art. 2 cpv. 2 della legge federale sugli stranieri del 16 dicembre 2005 (LStr, RS 142.20) essa si applica solo se il detto accordo non contiene disposizioni derogatorie o se essa prevede disposizioni più favorevoli.</w:t>
      </w:r>
    </w:p>
    <w:p>
      <w:r>
        <w:rPr>
          <w:b/>
        </w:rPr>
        <w:t>E. 4.1</w:t>
      </w:r>
    </w:p>
    <w:p>
      <w:r>
        <w:t>Il divieto d'entrata pronunciato nei confronti di uno straniero il cui soggiorno in Svizzera è indesiderabile, è disciplinato all'art. 67 LStr. Esso corrisponde essenzialmente al previgente art. 13 della legge federale concernente la dimora e il domicilio degli stranieri (LDDS, CS 1 117). Come in precedenza,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w:t>
      </w:r>
    </w:p>
    <w:p>
      <w:r>
        <w:rPr>
          <w:b/>
        </w:rPr>
        <w:t>E. 4.2</w:t>
      </w:r>
    </w:p>
    <w:p>
      <w:r>
        <w:t>Ai sensi dell'art. 67 LStr, l'UFM può vietare l'entrata in Svizzera allo straniero che ha violato o espone a pericolo l'ordine e la sicurezza pubblici in Svizzera o all'estero (let. a), che ha causato spese d'aiuto sociale (let. b), che è stato allontanato o espulso (let. c) o che ha dovuto essere oggetto di carcerazione preliminare, in vista di un rinvio coatto o cautelativa (let. d). Il divieto d'entrata è pronunciato per una durata determinata o, in casi gravi, indeterminata (art. 67 cpv. 3 LStr). Durante la durata del divieto d'entrata, la persona interessata non può varcare la frontiera svizzera. L'Ufficio federale di polizia può, per motivi gravi, sospendere temporaneamente il divieto (art. 67 cpv. 4 LStr).</w:t>
      </w:r>
    </w:p>
    <w:p>
      <w:r>
        <w:rPr>
          <w:b/>
        </w:rPr>
        <w:t>E. 4.3</w:t>
      </w:r>
    </w:p>
    <w:p>
      <w:r>
        <w:t>La sicurezza e l'ordine pubblici ai sensi della precitata disposizione costituiscono il concetto generale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(cfr. Messaggio precitato FF 2002 pag.3424). In questo senso l'art. 80 cpv. 1 let. a dell'ordinanza del 24 ottobre 2007 sull'ammissione, il soggiorno e l'attività lucrativa (OASA, RS 142.201) statuisce che vi è violazione della sicurezza e dell'ordine pubblici in caso di mancato rispetto di prescrizioni di legge e di decisione dell'autorità (cfr. anche sentenze del TAF C-6199/2008 del 24 agosto 2009 consid. 5.2 e C-6528/2008 del 14 maggio 2009 consid. 4). I reati di minaccia, coazione sessuale e molestie sessuali rappresentano manifestamente delle violazioni di legge e possono dunque in quanto tali condurre all'emissione di un divieto d'entrata.</w:t>
      </w:r>
    </w:p>
    <w:p>
      <w:r>
        <w:rPr>
          <w:b/>
        </w:rPr>
        <w:t>E. 5.1</w:t>
      </w:r>
    </w:p>
    <w:p>
      <w:r>
        <w:t>Come già menzionato in precedenza, il ricorrente può prevalersi dell'ALC. 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reale e di gravità tale da incidere su un interesse fondamentale della società (cfr. DTF 131 II 352 consid. 3.2, 130 II 493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5.3</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5.4</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w:t>
      </w:r>
    </w:p>
    <w:p>
      <w:r>
        <w:rPr>
          <w:b/>
        </w:rPr>
        <w:t>E. 5.5</w:t>
      </w:r>
    </w:p>
    <w:p>
      <w:r>
        <w:t>Infine,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130 II 493 consid. 3.3; 130 II 176 consid. 3.4.2; sentenze della CGCE del 30 novembre 1995, Gebhard, C-55/94, Rac. 1995, pag. I-4165, punto 37; del 18 maggio 1989, Commissione delle Comunità europee contro Repubblica federale di Germania, 249/86, Rac. 1989, pag. 1263, punto 20).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6</w:t>
      </w:r>
    </w:p>
    <w:p>
      <w:r>
        <w:t>Con sentenza del 9 maggio 2006 l'interessato è stato ritenuto colpevole di ripetuta coazione sessuale, consumata e tentata, ripetute molestie sessuali e minaccia. Pertanto egli è stato condannato ad una pena detentiva di 24 mesi, all'espulsione dal territorio svizzero per un tempo di sette anni sospesi condizionalmente per un periodo di prova di quattro anni.</w:t>
      </w:r>
    </w:p>
    <w:p>
      <w:r>
        <w:rPr>
          <w:b/>
        </w:rPr>
        <w:t>E. 6.1</w:t>
      </w:r>
    </w:p>
    <w:p>
      <w:r>
        <w:t>Nel suo gravame il ricorrente ha contestato le accuse che hanno portato alla detta condanna ed ha poi fatto valere che i giudici penali hanno pronunciato la pena detentiva di otto mesi e quella accessoria dell'espulsione sospese condizionalmente.</w:t>
      </w:r>
    </w:p>
    <w:p>
      <w:r>
        <w:rPr>
          <w:b/>
        </w:rPr>
        <w:t>E. 6.1.1</w:t>
      </w:r>
    </w:p>
    <w:p>
      <w:r>
        <w:t>Per quanto riguarda la pena irrogata dai giudici penali, dalle risultanze agli atti si constata che non si tratta di una pena detentiva di 8 mesi sospesi condizionalmente, come affermato a più riprese dal ricorrente, bensì di una pena detentiva di 24 mesi che l'interessato ha effettivamente scontato. Detenuto dal 23 novembre 2005 il ricorrente è stato posto a beneficio del regime di semilibertà a decorrere dal 2 gennaio 2007 e dal 24 marzo 2007 è stato liberato condizionalmente. Si osserva poi che la presente procedura verte sul provvedimento amministrativo dell'11 luglio 2008 emanato dall'UFM. Il fatto che l'interessato contesti la condanna penale subita esula dunque dall'oggetto della presente causa. Va inoltre ricordato che a norma di una consolidata giurisprudenza, l'autorità amministrativa non è vincolata dalle considerazioni del giudice penale, in quanto non persegue il medesimo scopo dell'autorità penale e gli interessi che è chiamata a salvaguardare - segnatamente la sicurezza e l'ordine pubblico - possono differire. Essa valuta dunque sulla base di criteri autonomi del diritto amministrativo qualora l'allontanamento dalla Svizzera di uno straniero resosi colpevole di un reato sia necessaria e opportuna. Infatti,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6.1.2</w:t>
      </w:r>
    </w:p>
    <w:p>
      <w:r>
        <w:t>Infine, per quanto attiene alla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w:t>
      </w:r>
    </w:p>
    <w:p>
      <w:r>
        <w:rPr>
          <w:b/>
        </w:rPr>
        <w:t>E. 6.2</w:t>
      </w:r>
    </w:p>
    <w:p>
      <w:r>
        <w:t>Per quanto riguarda la sentenza del 9 maggio 2006 è emerso che già in precedenza ai fatti criminosi, nei rapporti con le colleghe il ricorrente aveva un atteggiamento da ricondurre a molestie di carattere sessuale che gli sono valsi anche il soprannome di "ormone" (cfr. sentenza del 9 maggio 2006, pag. 7). Sempre precedentemente ai fatti, un'altra collega di lavoro aveva chiesto ai superiori di non più lavorare con l'interessato in conseguenza al suo comportamento (cfr. sentenza citata, pag. 14). Da quanto precede risulta manifesto, come evidenziato dall'autorità inferiore, che già prima dei fatti incriminati l'interessato aveva dimostrato di avere un atteggiamento alquanto irrispettoso nei confronti delle colleghe di sesso opposto. Per quanto attiene ai fatti imputati all'interessato il giudice penale ha ritenuto una colpa estremamente grave sul piano oggettivo, siccome sono stati compiuti usando una violenza fisica particolarmente intensa fino a causare alla vittima delle lesioni comprovate da un certificato medico e nella documentazione fotografica agli atti (ematoma con escoriazione abbastanza importante) nonché usando una violenza fuori del comune prendendo la ragazza come una preda, tenendole le braccia, buttandola sul letto e toccandola fino nelle parti intime. Alla colpa oggettiva già grave il giudice penale ha ritenuto una colpa soggettiva altrettanto grave, avendo abusato di una giovane donna sul posto di lavoro e approfittando di un rapporto di subordinazione. Il suo atteggiamento negatorio, la sua totale assenza di empatia e di rispetto per le sofferenze causate alla vittima così come il tentativo di far passare tutti per dei bugiardi nonché il sostenere che il suo è il comportamento normale per un uomo nei confronti di una donna sono stati ritenuti elementi emblematici e rivelatori di una personalità pericolosa. Il giudice penale ha rinunciato a pronunciare una pena di 18 mesi (sospesi condizionalmente) escludendo una prognosi favorevole in riguardo alla gravità soggettiva nonché oggettiva delle colpa non volendo banalizzare la gravità dei fatti (sentenza citata, pag. 49 segg.). Infine va sottolineato che pure nell'ambito della decisione di liberazione condizionale avvenuta il 24 marzo 2007, il Giudice dell'applicazione della pena ha considerato che vi era inizialmente la difficoltà ad accettare la condanna per un atto nel quale l'interessato non si riconosceva. Vista la situazione agli atti, il provvedimento amministrativo, emanato l'11 luglio 2008, è confermato nel suo principio.</w:t>
      </w:r>
    </w:p>
    <w:p>
      <w:r>
        <w:rPr>
          <w:b/>
        </w:rPr>
        <w:t>E. 7</w:t>
      </w:r>
    </w:p>
    <w:p>
      <w:r>
        <w:t>Resta ora da stabilire se tale provvedimento è a tutt'oggi conforme all'ALC, ossia se il comportamento personale del ricorrente costituisce una minaccia attuale, effettiva e concreta all'ordine pubblico, tale da giustificare una misura per motivi di ordine pubblico giusta l'art. 5 Allegato I ALC.</w:t>
      </w:r>
    </w:p>
    <w:p>
      <w:r>
        <w:rPr>
          <w:b/>
        </w:rPr>
        <w:t>E. 7.1</w:t>
      </w:r>
    </w:p>
    <w:p>
      <w:r>
        <w:t>Al fine di valutare il comportamento di una persona la quale ha subito una pena detentiva, si considera di principio il suo comportamento dopo la scarcerazione, in quanto rilevante è l'atteggiamento della persona in totale libertà (cfr. DTAF 2008/24 consid. 6.2). In concreto il ricorrente ha beneficiato della libertà condizionale a decorrere dal 24 marzo 2007. Tenuto conto della gravità dei fatti commessi un tale lasso di tempo non può essere ritenuto sufficiente per un cambiamento sostanziale e consolidato dell'atteggiamento dell'interessato (cfr. DTF 130 II 493 consid. 5). Inoltre dalle risultanze agli atti è emerso che il ricorrente è stato nuovamente condannato 16 giugno 2008 dal Giudice della Pretura penale su opposizione interposta dal ricorrente il 17 dicembre 2007 contro il decreto d'accusa del 3 dicembre 2007. Egli è stato condannato per stato di inattitudine alla guida. Anche se in modo meno tangibile, l'interessato ha nuovamente messo in pericolo la sicurezza pubblica e dimostrato con questo comportamento di non volere o di non essere in grado di conformarsi all'ordinamento giuridico vigente.</w:t>
      </w:r>
    </w:p>
    <w:p>
      <w:r>
        <w:rPr>
          <w:b/>
        </w:rPr>
        <w:t>E. 7.2</w:t>
      </w:r>
    </w:p>
    <w:p>
      <w:r>
        <w:t>In queste circostanze, in ragione dei reati commessi, il Tribunale considera che le condizioni per derogare al principio della libera circolazione delle persone sono adempiute.</w:t>
      </w:r>
    </w:p>
    <w:p>
      <w:r>
        <w:rPr>
          <w:b/>
        </w:rPr>
        <w:t>E. 8</w:t>
      </w:r>
    </w:p>
    <w:p>
      <w:r>
        <w:t>Il ricorrente fa valere nel suo gravame di intrattenere una relazione con C._______ e la figlia comune, che attualmente ha l'età di quattro anni. La figlia vive in Ticino assieme alla madre. Egli si prevale dunque dell'art. 8 CEDU.</w:t>
      </w:r>
    </w:p>
    <w:p>
      <w:r>
        <w:rPr>
          <w:b/>
        </w:rPr>
        <w:t>E. 8.1</w:t>
      </w:r>
    </w:p>
    <w:p>
      <w:r>
        <w:t>A tale proposito, il Tribunale osserva che oggetto della presente causa è il divieto d'entrata e non il diritto di soggiorno in Svizzera, questione, quest'ultima, già esaminata a livello cantonale (cfr. decisione del 25 gennaio 2007 della SPI e decisione del 17 aprile 2007 del CdS) e che un'eventuale violazione della protezione della vita familiare ai sensi dell'art. 8 CEDU va generalmente fatta valere nel quadro della procedura cantonale volta al rilascio del permesso di soggiorno.</w:t>
      </w:r>
    </w:p>
    <w:p>
      <w:r>
        <w:rPr>
          <w:b/>
        </w:rPr>
        <w:t>E. 8.2</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di principio la nazionalità svizzera o disporre di un permesso di domicilio (cfr. in particolare DTF 129 II 193 consid. 5.3.1; 127 II 60 consid. 1d/aa; 126 II 335 consid. 2a; cfr, inoltre Alain Wurzburger, La jurisprudence récente du Tribunal fédéral en matière de police des étrangers, Revue de Droit Administratif et de Droit Fiscal [RDAF] 1997,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8.3</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A questo proposito, si deve prendere in considerazione l'intensità della relazione tra il genitore ed il figlio, nonché la distanza che separerebbe lo straniero dalla Svizzera nel caso in cui l'autorizzazione di soggiorno gli fosse rifiutata (DTF 120 Ib 22 precitato e riferimenti ivi citati; cfr. inoltre le sentenze del Tribunale federale 2A.617/2004 dell'11 febbraio 2005, 2A.119/2004 del 5 marzo 2004. consid. 3.1; Alain Wurzburger, op, cit., p. 288). Secondo una costante giurisprudenza, la relazione familiare tra il bambino minorenne ed il genitore a beneficio di un diritto di visita non necessità la presenza di quest'ultimo in Svizzera, eccezion fatta per delle circostanze speciali. In effetti, a differenza di quanto avviene in casi di vita in comunione, il diritto di visita può in principio essere esercitato dall'estero, regolando le modalità di questo diritto per quanto attiene alla sua frequenza e alla sua durata, sebbene il suo esercizio risulti essere più complicato in ragione della partenza del ricorrente verso il suo paese d'origine (cfr. sentenze del Tribunale federale 2C_710/2009 del 7 maggio 2010, consid. 3.2; 2A.614/2005 del 20 gennaio 2006, consid. 4.2.1; 2A.116/2001 del 28 giugno 2001, consid. 3 e DTF 120 Ib 22 consid. 4a).</w:t>
      </w:r>
    </w:p>
    <w:p>
      <w:r>
        <w:rPr>
          <w:b/>
        </w:rPr>
        <w:t>E. 8.4</w:t>
      </w:r>
    </w:p>
    <w:p>
      <w:r>
        <w:t>Il diritto al rispetto della privata e familiare garantito dall'art. 8 cpv. 1 CEDU non è tuttavia assoluto.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134 II 10 consid. 4.1 e 4.2 e la giurisprudenza ivi citata concernente un permesso di soggiorno in Svizzera). Affinché l'interesse pubblico ad una politica restrittiva in materia di soggiorno degli stranieri e di immigrazione passi in secondo piano è necessaria l'esistenza di legami familiari particolarmente forti nella sfera affettiva ed economica (DTF 120 Ib 1 consid. 3c).</w:t>
      </w:r>
    </w:p>
    <w:p>
      <w:r>
        <w:rPr>
          <w:b/>
        </w:rPr>
        <w:t>E. 8.5</w:t>
      </w:r>
    </w:p>
    <w:p>
      <w:r>
        <w:t>In concreto, per quanto concerne la relazione tra il ricorrente e C._______, nell'ambito dell'aggiornamento d'istruttoria del 9 aprile 2010, l'interessato non ha fornito alcuna indicazione in merito. Per quanto riguarda la relazione con la figlia, occorre ritenere che l'autorità parentale è stata attribuita unicamente alla madre (cfr. decisione dell'8 maggio 2007 della Commissione tutoria regionale 8). Il ricorrente ha d'altronde affermato che, seppure con fatica, l'esercizio del diritto di visita risulta essere possibile (cfr. scritto del 9 aprile 2010). L'art. 8 cpv. 1 CEDU non è pertanto violato. Alla luce di tali considerazioni e conformemente alla giurisprudenza precitata, il Tribunale ritiene che il ricorrente non può prevalersi della protezione familiare garantita dall'art. 8 cpv. 1 CEDU.</w:t>
      </w:r>
    </w:p>
    <w:p>
      <w:r>
        <w:rPr>
          <w:b/>
        </w:rPr>
        <w:t>E. 9.1</w:t>
      </w:r>
    </w:p>
    <w:p>
      <w:r>
        <w:t>Dalle considerazioni precedenti ne deriva che l'interesse pubblico all'allontanamento del ricorrente dalla Svizzera prevale su quello privato di quest'ultimo ad entrarvi. Di conseguenza, da una corretta valutazione degli interessi pubblici e privati in gioco, emerge che il divieto d'entrata di tre anni è adeguato alle circostanze del caso concreto.</w:t>
      </w:r>
    </w:p>
    <w:p>
      <w:r>
        <w:rPr>
          <w:b/>
        </w:rPr>
        <w:t>E. 9.2</w:t>
      </w:r>
    </w:p>
    <w:p>
      <w:r>
        <w:t>Ne discende che l'UFM con decisione dell'11 luglio 2008 non ha violato il diritto federale, né abusato del suo potere d'apprezzamento; l'autorità di prime cure non ha accertato in modo inesatto o incompleto i fatti giuridicamente rilevanti ed inoltre la decisione non è inadeguata (art. 49 PA). Per questi motivi il ricorso va respinto.</w:t>
      </w:r>
    </w:p>
    <w:p>
      <w:r>
        <w:rPr>
          <w:b/>
        </w:rPr>
        <w:t>E. 10</w:t>
      </w:r>
    </w:p>
    <w:p>
      <w:r>
        <w:t>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concreto il ricorrente è stato posto al beneficio del gratuito patrocinio e dell'assistenza giudiziaria con decisione incidentale del 31 gennaio 2008. Non vengono pertanto prelevate spese processuali e, in mancanza di una nota particolareggiata delle spese di rappresentanza, l'indennità è fissata sulla base degli atti (art. 14 cpv. 2 del regolamento del 21 febbraio 2008 sulle tasse e sulle spese ripetibili nelle cause dinanzi al Tribunale amministrativo federale [TS-TAF, RS 173.320.2]). Nella specie, il Tribunale considera che un'indennità di fr. 1200.- appaia equa. Si richiama inoltre l'art. 65 cpv. 4 PA, secondo il quale, ove la parte cessi d'essere nel bisogno deve rimborsare l'onorario e le spese d'avvocato alla cassa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