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C-5905/2009 vom 7. Juli 2011</w:t>
      </w:r>
    </w:p>
    <w:p>
      <w:r>
        <w:t>Bundesverwaltungsgericht, 2011-07-07, DE</w:t>
      </w:r>
    </w:p>
    <w:p>
      <w:r>
        <w:rPr>
          <w:b/>
        </w:rPr>
        <w:t xml:space="preserve">Quelle: </w:t>
      </w:r>
      <w:r>
        <w:t>https://mcp.opencaselaw.ch/entscheid/bvger_C-5905_2009</w:t>
      </w:r>
    </w:p>
    <w:p>
      <w:r>
        <w:t>FR: TAF C-5905/2009 du 7 juillet 2011</w:t>
      </w:r>
    </w:p>
    <w:p>
      <w:r>
        <w:t>IT: TAF C-5905/2009 del 7 luglio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15. Juli 2009 (act. 128)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15. Juli 2009 (act. 128), mit welcher die bisherige ganze IV-Rente mit Wirkung ab dem 1. September 2009 auf eine halbe herabgesetzt worden ist. Streitig und zu prüfen ist der Rentenanspruch des Beschwerdeführers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österreichische Staatsbürgerschaft und wohnt in Österreich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Fassung vom 21. März 2003 [AS 2003 3837]) und 5. IV-Revision (in Kraft getreten auf den 1. Januar 2008; Fassung vom 6. Oktober 2006 [AS 2007 5129]) sind die revisions- und neuanmeldungsrechtlichen Vorschriften im Wesent­lichen unverändert ge­blieben, sodass die zur altrechtlichen Regelung ergangene Rechtsprechung weiterhin massgebend ist (Art. 17 ATSG sowie Art. 87 Abs. 3 und 4 der Verordnung vom 17. Januar 1961 über die Invalidenversicherung [IVV, SR 831.201];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Rentenanspruch nach den neuen Normen zu prüfen (vgl. BGE 130 V 445). Im vor­liegenden Verfahren fin­den grundsätzlich jene Vor­schriften Anwendung, die spätestens bei Erlass der Verfügung vom 15. Juli 2009 (act. 128) in Kraft standen (das IVG ab dem 1. Januar 2008 in der Fassung vom 6. Oktober 2006 und die IVV in der entsprechenden Fassung [AS 2007 5155]); weiter aber auch sol­che Vorschriften, die zu jenem Zeitpunkt bereits ausser Kraft getre­ten wa­ren, die aber für die Be­urteilung eines allen­falls früher entstan­denen Rentenanspruchs von Belang sind (das IVG ab dem 1. Januar 2004 und die IVV in der ent­sprechenden Fassung der 4. IV-Revi­sion [AS 2003 3859]).</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der ab 2004 geltenden Rechtslage (4. IV-Revision) können neben den geistigen und körperlichen Gesundheitsschäden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setzt zunächst eine fachärztlich (psychiatrisch) gestellte Diagnose nach einem wissenschaftlich anerkannten Klassifikationssystem voraus (BGE 130 V 396 E. 5.3 und E. 6).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130 V 396 E. 5.3.2). Nach der Rechtsprechung stellt Alkoholismus (wie auch eine Drogensucht und eine Medikamentenabhängigkeit) für sich allein betrachtet noch keinen invalidisierenden Gesundheitsschaden dar, sondern wird erst dann bedeutsam, wenn sie durch einen solchen Gesundheitsschaden bewirkt worden ist oder einen solchen zur Folge hat (vgl. BGE 124 V 265 E. 3c; AHI 2002 S. 28, I 454/99, und 2001 S. 227, I 138/98; Urteil I 50/07 des BGer vom 23. Oktober 2007 E. 5.1 und 5.2 mit weiteren Hinweisen). Bei seinen Abklärungen hat der beurteilende Arzt zu berücksichtigen, dass die im Zusammenhang mit einer Alkoholsucht festgestellten psychi­schen Stö­rungen in der Regel nicht unab­hängig von dieser Sucht be­stehen, sondern durch sie induziert sind bzw. her­vorge­rufen werden, und dass sich diese Störungen erfah­rungs­gemäss durch die Ein­stel­lung des Alkoholkonsums innert Wochen von selbst wieder bessern. Derartige psychische Störungen haben keinen invalidisie­renden Krankheitswert, da sie nicht nach einem wissen­schaft­lich aner­kannten Klassifikationssystem, so insbesondere der International Classification of Diseases (im Folgenden: ICD-10), zu diagnostizieren sind (vgl. hierzu BGE 131 V 49 E. 1.2 mit Hinweisen) - und die Alkoholsucht vermag für sich alleine keine Invalidität zu be­grün­den. Ob Letz­teres der Fall ist oder ob eine psychiatrische Ko­morbidität vorliegt - also eine oder mehrere zur Alkoholsucht hinzu­tretende psychische Störungen mit invalidisierendem Krankheitswert - lässt sich folglich erst nach erfolgtem Alkoholentzug zuverlässig bzw. lege artis beurteilen (vgl. Urteil des BGer 9C_395/2007 vom 15. April 2008 E. 2.3). Eine medizinisch fachgerecht diagnostizierte psychiatrische Komorbidität kann zudem erst dann eine Invalidität begründen, wenn sie überwiegend wahrscheinlich zur Erwerbsunfähigkeit des Ver­sicherten beiträgt (vgl. Urteile des BGer 9C_395/2007 vom 15. April 2008 E. 2.4 und 8C_480/2007 vom 20. März 2008 E. 6.1, je mit Hinweisen). Psychische Krankheiten, insbesondere auch reaktive Depressionen, bewirken aber in der Regel keine langdauernde, zur Invalidität führende Einschränkung der Arbeits­fähigkeit. Laut bundesgerichtlicher Rechtsprechung besteht vielmehr die Vermutung, dass sie bzw. ihre Folgen mit einer zumutbaren Willensanstrengung überwindbar sind. Nur ausnahmsweise können bestimmte Umstände den Wiedereinstieg in den Arbeitsprozess als unzumutbar erscheinen lassen. Ob ein solcher Ausnahmefall vorliegt, entscheidet sich im Einzelfall anhand verschiedener Kriterien. Nebst der dabei im Vordergrund stehenden psychiatrischen Komorbidität von erheblicher Schwere, Ausprägung und Dauer können auch weitere Faktoren massgebend sein; so insbesondere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trotz kooperativer Haltung des Versicherten (vgl. BGE 131 V 49 E. 1.2 mit Hin­weisen).</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BGer vom 8. Dezember 2008 E. 4.3.2).</w:t>
      </w:r>
    </w:p>
    <w:p>
      <w:r>
        <w:rPr>
          <w:b/>
        </w:rPr>
        <w:t>E. 2.6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 Versicherungsgerichts [EVG; seit 1. Januar 2007: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Vergleichszeitpunkte ist vorab Folgendes festzustellen:</w:t>
      </w:r>
    </w:p>
    <w:p>
      <w:r>
        <w:rPr>
          <w:b/>
        </w:rPr>
        <w:t>E. 3.1</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3.2</w:t>
      </w:r>
    </w:p>
    <w:p>
      <w:r>
        <w:t>Im vorliegenden Fall hat betreffend der erheblichen zeitlichen Anknüpfungspunkte als letztmaliger, das Ergebnis einer rechtsgenüglichen materiellen Prüfung des Rentenanspruchs darstellender Rechtsakt die Mitteilung der Vorinstanz vom 22. Januar 2001 (act. 74) zu gelten, mit welcher - nach Vorliegen des Gutachtens des Psychiaters und Psychotherapeuten Dr. med. A._______ vom 13. Dezember 2000 (act. 72) - die mit ursprünglicher Verfügung vom 4. Juni 1999 zugesprochene ganze IV-Rente (act. 21) bestätigt worden war. Zu beurteilen ist demnach, ob im Zeitraum zwischen der Mitteilung vom 22. Januar 2001 und der angefochtenen Verfügung vom 15. Juli 2009 (act. 128) eine revisionsrechtlich bedeutsame Änderung in den tatsächlichen Verhältnissen eingetreten ist, welche eine Herabsetzung der bisherigen ganzen auf eine halbe Rente per 1. September 2009 rechtfertigt (vgl. E. 2.8 hiervor; vgl. auch Urteil des BGer 8C_329/2010 vom 6. August 2010, E. 5.1 mit weiteren Hinweisen).</w:t>
      </w:r>
    </w:p>
    <w:p>
      <w:r>
        <w:rPr>
          <w:b/>
        </w:rPr>
        <w:t>E. 4.1</w:t>
      </w:r>
    </w:p>
    <w:p>
      <w:r>
        <w:t>Im Rahmen der Revisionsmitteilung vom 22. Januar 2001 lagen der IV-Stelle SG insbesondere die Berichte/Gutachten der Dres. med. D._______ (Facharzt für Psychiatrie und Neurologie), V._______ (Facharzt für Innere Medizin), W._______ (Facharzt für Neurologie und Psychiatrie) und A._______ (Facharzt für Psychiatrie und Psychotherapie) vor (act. 24, 38, 40 und 72).</w:t>
      </w:r>
    </w:p>
    <w:p>
      <w:r>
        <w:rPr>
          <w:b/>
        </w:rPr>
        <w:t>E. 4.2</w:t>
      </w:r>
    </w:p>
    <w:p>
      <w:r>
        <w:t>Anlässlich der angefochtenen Revisionsverfügung vom 15. Juli 2009 stützte sich die Vorinstanz primär auf die Berichte der RAD-Ärztin und Internistin Dr. med. Z._______ vom 14. Februar und 11. Dezember 2008 (act. 112 und 120) sowie vom 30. Juni 2009 (act. 126) und 22. April 2010 (B-act. 18 und act. 132). Diese sowie weitere Berichte sind nachfolgend einer Würdigung zu unterziehen.</w:t>
      </w:r>
    </w:p>
    <w:p>
      <w:r>
        <w:rPr>
          <w:b/>
        </w:rPr>
        <w:t>E. 4.2.1</w:t>
      </w:r>
    </w:p>
    <w:p>
      <w:r>
        <w:t>Bei den Stellungnahmen von Dr. med. Z._______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4.2.2</w:t>
      </w:r>
    </w:p>
    <w:p>
      <w:r>
        <w:t>Wie bereits dargelegt wurde (vgl. E. 2.7 hiervor), kann auf Stel-lungnahmen des RAD resp. des medizinischen Dienstes der Vorinstanz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Z._______ als Fachärztin für Innere Medizin nicht über einen Facharzttitel in den medizinischen Disziplinen Psychiatrie und Psychotherapie sowie Neurologie verfügt, könnte ihren Stellungnahmen an sich Beweiskraft zukommen (vgl. bspw. Urteil des Bundesverwaltungsgericht C-5379/2009 vom 28. März 2011). Auf das Einholen von Berichten entsprechend ausgebildeter Spezialärztinnen und -ärzte konnte vorliegend aufgrund der nachfolgenden Erwägungen aber nicht verzichtet werden, da die Frage, ob der beim Beschwerdeführer vorliegende Alkoholabusus ausnahmsweise überhaupt eine Invalidität zu begründen vermag, im Rahmen des vorliegend zu beurteilenden Revisionsverfahrens nicht rechtsgenüglich beantwortet werden kann (vgl. E. 2.4 hiervor).</w:t>
      </w:r>
    </w:p>
    <w:p>
      <w:r>
        <w:rPr>
          <w:b/>
        </w:rPr>
        <w:t>E. 4.2.3</w:t>
      </w:r>
    </w:p>
    <w:p>
      <w:r>
        <w:t>Dr. med. Z._______ vertrat in ihrem Bericht vom 14. Februar 2008 die Ansicht, dass beim Beschwerdeführer ein chronischer Alkoholabusus ohne schwerwiegende psychiatrische Begleiterkrankung und ohne invalidisierende Folgeschäden vorliege und dass die diagnostizierte Persönlichkeitsstörung keinen invalidisierenden Charakter habe. Mit Blick auf die höchstrichterliche Rechtsprechung (vgl. E. 2.4 hiervor) lässt sich jedoch die Frage, ob die Alkoholsucht für sich alleine keine Invalidität zu begründen vermag oder ob eine psychiatrische Komorbidität vorliegt - also eine oder mehrere zur Alkoholsucht hinzutretende psychische Störungen mit invalidisierendem Krankheitswert - erst nach erfolgtem Alkoholentzug zuverlässig bzw. lege artis beurteilen. Da der Beschwerdeführer bis anhin im Rahmen von Untersuchungen und Begutachtungen mehr oder weniger stark alkoholisiert war, lassen sich die gestellten Diagnosen in psychisch-psychiatrischer Sicht nicht als lege artis gestellt qualifizieren.</w:t>
      </w:r>
    </w:p>
    <w:p>
      <w:r>
        <w:rPr>
          <w:b/>
        </w:rPr>
        <w:t>E. 4.2.4</w:t>
      </w:r>
    </w:p>
    <w:p>
      <w:r>
        <w:t>Unter diesen Umständen ist folglich nicht rechtsgenüglich erstellt, ob hinsichtlich der von Dr. med. D._______ in dessen Bericht vom 27. Dezember 1999 erwähnten Persönlichkeitsstörung mit ausgeprägter depressiver Gehemmtheit tatsächlich eine Verbesserung eingetreten ist, wie sie Dr. med. A._______ - welcher in seinem Gutachten vom 13. Dezember 2000 keine Anzeichen für das Vorliegen einer depressiv-subdepressiven Stimmungslage gefunden hatte - festgestellt hatte. Dass die Psychologin Dr. E._______ am 26. November 2001 (act. 76) sowie die Dres. med. F._______ und T._______ (act. 84 und 85) in ihrer zusammenfassenden Beurteilung vom 29./30. November 2001 von einer vordergründigen depressiv-gehemmten Stimmungslage gesprochen hatten, könnte theoretisch auch auf den verringerten Konsum von alkoholischen Getränken zurückzuführen sein. Ob sich der Gesundheitszustand des Beschwerdeführers tatsächlich verbessert hat oder ob er nach wie vor an einer Persönlichkeitsstörung oder an einer schweren Depression - wie von den Dres. med. F._______ und T._______ festgestellt - leidet, kann aufgrund der vorliegenden Akten nicht widerspruchsfrei beantwortet werden. Auch kann die Frage nach dem Vorliegen einer beginnenden Demenzerkrankung, wie sie von Dr. med. U._______ im Bericht vom 26. August 2009 diagnostiziert worden war (act. 130), mit Blick auf die nachvollziehbaren Ausführungen von Dr. med. Z._______ in deren Stellungnahme vom 22. April 2010 (act. 132; B-act. 18) nicht ohne Widerspruch bejaht werden.</w:t>
      </w:r>
    </w:p>
    <w:p>
      <w:r>
        <w:rPr>
          <w:b/>
        </w:rPr>
        <w:t>E. 4.2.5</w:t>
      </w:r>
    </w:p>
    <w:p>
      <w:r>
        <w:t>Mit Blick auf das vorstehend Dargelegte kann somit dem von Dr. med. Z._______ abgegebenen Zumutbarkeitsprofil, gemäss welchem beim Beschwerdeführer aus den in neurologischer Hinsicht im Jahre 2006 beschriebenen Defizite entgegen der von Dr. med. C._______ (Fachärztin für Neurologie und Psychiatrie) am 17. April 2008 vertretenen Auffassung (act. 116 bzw. 118) anstelle einer 100%igen Arbeitsunfähigkeit höchstens eine solche von 50 % (vermindertes Rendement bei 100%iger Tätigkeit) resultiert, keine (volle) Beweiskraft zukommen. Immerhin ist darauf hinzuweisen, dass die von Dr. med. V._______ im Zusammenhang mit den dupuytrenschen Kontrakturen erwähnte beabsichtigte Operation zwischenzeitlich stattgefunden und sich somit - gemäss den Ausführungen von Dr. med. Z._______ - die Funktion der Hände verbessert haben dürfte. Aufgrund der Ausführungen von Dr. med. Z._______ in deren Berichten vom 14. und 11. Dezember 2008 liegen bezüglich des Sozialverhaltens - im Vergleich zur Berichterstattung der Dres. med. D._______, V._______, W._______ und A._______ (vgl. E. 4.1 hiervor) - bis zum Zeitpunkt der angefochtenen Verfügung Hinweise auf eine Verbesserung (kein schwerer sozialer Rückzug mehr) vor, wurde doch im psychodiagnostischen Untersuchungsbericht vom 31. August 2006 sowie dem ärztlichen Gesamtgutachten von Dr. med. G._______ vom 11. September 2006 ausgeführt, dem Beschwerdeführer gehe es recht gut; er treffe sich mit Kollegen in Lokalitäten und gehe tagsüber spazieren (act. 108 und 110). Ob, und wenn ja inwiefern diese Hinweise im Zusammenhang mit dem Konsum von alkoholischen Getränken stehen, kann jedoch ebenfalls nicht rechtsgenüglich beantwortet werden.</w:t>
      </w:r>
    </w:p>
    <w:p>
      <w:r>
        <w:rPr>
          <w:b/>
        </w:rPr>
        <w:t>E. 4.2.6</w:t>
      </w:r>
    </w:p>
    <w:p>
      <w:r>
        <w:t>Obschon der Beschwerdeführer zwei, bereits nach wenigen Tagen abgebrochene und somit gescheiterte Entzugsversuche hinter sich hat (act. 108), bestehen aufgrund der Feststellungen und Beurteilungen der Dres. med. V._______, W._______, A._______, Z._______ und C._______ keinerlei Anhaltspunkte dafür, dass ihm die Durchführung eines fachärztlich beg­leiteten Alkohol- und Drogenentzugs mit daran anschliessender Abstinenz zwecks zuverlässiger Abklärung der Ursache(n) seiner psychischen Leiden unzumutbar gewesen wäre resp. ist. Vielmehr geht aus den zahlreichen medizinischen Akten hervor, dass ärztlicherseits seit Jahren eine Entzugsbehandlung befürwortet resp. als dringend indiziert erachtet wird. Dass die Vorinstanz den Versicherten erst im Rahmen der angefochtenen Verfügung vom 15. Juli 2009 aufgefordert hat, mit einem Psychiater Kontakt aufzunehmen und sich einer Alkoholentzugskur zu unterziehen, erstaunt, wäre ein entsprechendes Vorgehen aus Sicht der Schadenminderungspflicht (vgl. hierzu Urteil des Bundesgerichtes 9C_242/ 2009 vom 30. April 2009 sowie BGE 113 V 22 E. 4a mit Hinweisen) doch bereits viel früher angebracht gewesen.</w:t>
      </w:r>
    </w:p>
    <w:p>
      <w:r>
        <w:rPr>
          <w:b/>
        </w:rPr>
        <w:t>E. 5</w:t>
      </w:r>
    </w:p>
    <w:p>
      <w:r>
        <w:t>Aufgrund der vorstehenden Erwägungen ist zusammenfassend festzuhalten, dass zwar Hinweise auf eine Verbesserung des Gesundheitszustands aktenkundig sind, dass jedoch Dr. med. Z._______ ihre Stellungnahmen mit Blick auf die höchstrichterliche Rechtsprechung auf ungenügende fachärztliche Abklärungen und Beurteilungen der Ursache(n) der psychischen Leiden des Beschwerdeführers bzw. der geltend gemachten Verbesserung der gesundheitlichen Zustands abstützte. Unter diesen Umständen war es nicht gerechtfertigt, dass Dr. med. Z._______ resp. die Vorinstanz in blosser Würdigung der aktenkundigen medi­zinischen Dokumente und ohne ergänzende medizinische Abklärungen einen invalidisierenden Gesundheitsschaden bloss noch im Umfang von 50 % anerkannte. Ohne ergänzende retrospektive fachärztliche Abklärungen und Beurteilungen - im Rahmen welcher bei Vorliegen mehrerer Gesundheitsstörungen mit invalidisierendem Krankheitswert die Auswirkungen jeder ein­zel­nen Stö­rung auf die Arbeits­fähigkeit zu beschreiben und darzu­tun sind, welchen Grad die Arbeitsfähigkeit erreichen könnte, wenn man von den Auswirkungen der Alkoholabhängigkeit absieht (vgl. Urteil des BGer 9C_395/2007 vom 15. April 2008 E. 2.4 mit Hinweis) - ist es somit dem Bundesverwaltungsgericht nicht möglich, mit dem im Sozialversicherungsrecht üblichen Beweisgrad der überwiegenden Wahrscheinlichkeit festzustellen, ob beim Beschwerdeführer ein invalidisierender Gesundheitsschaden vorliegt. Auch können in diesem Zusammenhang die Fragen, ob er weiterhin Anspruch auf Ausrichtung einer Invalidenrente hat, und falls ja, in welchem Ausmass, unter den gegebenen Umständen nicht rechtsgenüglich beantwortet werden.</w:t>
      </w:r>
    </w:p>
    <w:p>
      <w:r>
        <w:rPr>
          <w:b/>
        </w:rPr>
        <w:t>E. 6</w:t>
      </w:r>
    </w:p>
    <w:p>
      <w:r>
        <w:t>Die Vorinstanz hat demnach den rechtserheblichen Sachverhalt nicht vollständig festgestellt und gewürdigt (Art. 43 ff. ATSG sowie Art. 12 VwVG). Die Beschwerde ist daher insofern gutzuheissen, als dass die angefochtene Verfügung aufzuheben und die Sache zum Erlass einer neuen Verfügung an die Vorinstanz zurückzuweisen ist (vgl. Art. 61 Abs. 1 VwVG). Diese ist anzuweisen, vor Erlass der neuen Verfügung ergänzende medizinische Abklärungen in psychischer und - soweit erforderlich - in somatischer Hinsicht zu veranlassen. Insbesondere hat sie die diagnostizierten psychischen Leiden und ihre Auswirkungen auf die Arbeitsfähigkeit fachärztlich begutachten zu lassen und zu diesem Zweck den Beschwerdeführer unter Hinweis auf die Folgen der Verletzung der Mitwirkungspflicht - d.h. der vorübergehenden oder dauernden Kürzung oder Einstellung der Leistungen gemäss Art. 21 Abs. 4 ATSG zuvor zur Durchführung eines ärztlich begleiteten Alkoholentzugs auf­zufordern (vgl. zum Ganzen auch Urteil C-2922/2008 vom 14. Juni 2010).</w:t>
      </w:r>
    </w:p>
    <w:p>
      <w:r>
        <w:rPr>
          <w:b/>
        </w:rPr>
        <w:t>E. 7</w:t>
      </w:r>
    </w:p>
    <w:p>
      <w:r>
        <w:t>Zu befinden bleibt noch über die Verfahrenskosten sowie eine allfällige Parteientschädigung.</w:t>
      </w:r>
    </w:p>
    <w:p>
      <w:r>
        <w:rPr>
          <w:b/>
        </w:rPr>
        <w:t>E. 7.1</w:t>
      </w:r>
    </w:p>
    <w:p>
      <w:r>
        <w:t>Angesichts des teilweisen Obsiegens des Beschwerdeführers sind keine Verfahrenskosten zu erheben (Art. 63 Abs. 1 sowie 2 VwVG; vgl. BGE 132 V 215 E. 6.1). Der bereits geleistete Verfahrenskostenvor­schuss von Fr. 400.- ist dem Beschwerdeführer nach Eintritt der Rechts­kraft des vorliegenden Urteils zurückzuerstatten.</w:t>
      </w:r>
    </w:p>
    <w:p>
      <w:r>
        <w:rPr>
          <w:b/>
        </w:rPr>
        <w:t>E. 7.2</w:t>
      </w:r>
    </w:p>
    <w:p>
      <w:r>
        <w:t>Da aufgrund der Akten feststeht, dass dem nicht anwaltlich ver­tre­tenen Beschwerdeführer nur verhältnismässig geringe Kosten ent­stan­den sind, ist von der Zusprechung einer Parteientschädigung abzu­sehen (Art. 64 Abs. 1 VwVG in Verbindung mit Art. 7 Abs. 1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