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C-5896/2011 vom 21. Oktober 2013</w:t>
      </w:r>
    </w:p>
    <w:p>
      <w:r>
        <w:t>Bundesverwaltungsgericht, 2013-10-21, DE</w:t>
      </w:r>
    </w:p>
    <w:p>
      <w:r>
        <w:rPr>
          <w:b/>
        </w:rPr>
        <w:t xml:space="preserve">Quelle: </w:t>
      </w:r>
      <w:r>
        <w:t>https://mcp.opencaselaw.ch/entscheid/bvger_C-5896_2011</w:t>
      </w:r>
    </w:p>
    <w:p>
      <w:r>
        <w:t>FR: TAF C-5896/2011 du 21 octobre 2013</w:t>
      </w:r>
    </w:p>
    <w:p>
      <w:r>
        <w:t>IT: TAF C-5896/2011 del 21 ottobre 2013</w:t>
      </w:r>
    </w:p>
    <w:p>
      <w:pPr>
        <w:pStyle w:val="Heading2"/>
      </w:pPr>
      <w:r>
        <w:t>Regeste</w:t>
      </w:r>
    </w:p>
    <w:p>
      <w:r>
        <w:t>Krankenversicherung (Übriges)</w:t>
      </w:r>
    </w:p>
    <w:p>
      <w:pPr>
        <w:pStyle w:val="Heading2"/>
      </w:pPr>
      <w:r>
        <w:t>Erwägungen</w:t>
      </w:r>
    </w:p>
    <w:p>
      <w:r>
        <w:rPr>
          <w:b/>
        </w:rPr>
        <w:t>E. 1.1</w:t>
      </w:r>
    </w:p>
    <w:p>
      <w:r>
        <w:t>Anfechtungsgegenstand ist vorliegend die Verfügung der Vorinstanz vom 26. September 2011 betreffend Genehmigung der Prämientarife 2012. Im Dispositiv wurde unter anderem festgehalten, das BAG genehmige mit Wirkung vom 1. Januar bis 31. Dezember 2012 die in Ziff. 3 bis 8 aufgeführten Prämientarife mit den soweit in diesen Ziffern genannten, überarbeiteten Nachträgen (Ziff. 44), die A._______ habe die betroffenen Versicherten der Modelle "C._______" und "F._______" schriftlich, transparent und fristgerecht vor Ende Oktober 2011 über die in den Ziff. 5 und 6 genannten Änderungen der AVB zu informieren und ihnen insbesondere mitzuteilen, dass die Erfolgsbeteiligung in diesen Modellen nicht mehr vorgesehen sei (Ziff. 45).</w:t>
      </w:r>
    </w:p>
    <w:p>
      <w:r>
        <w:rPr>
          <w:b/>
        </w:rPr>
        <w:t>E. 1.2</w:t>
      </w:r>
    </w:p>
    <w:p>
      <w:r>
        <w:t>Die Zuständigkeit des Bundesverwaltungsgerichts zur Beurteilung der Beschwerde gegen die Verfügung vom 26. September 2011 ergibt sich aufgrund von Art. 31 des Verwaltungsgerichtsgesetzes vom 17. Juni 2005 (VGG; SR 173.32) und Art. 33 Bst. d VGG i.V.m. Art. 61 Abs. 5 des Bundesgesetzes über die Krankenversicherung vom 18. März 1994 (KVG; SR 832.10) und Art. 92 Abs. 1 der Verordnung über die Krankenversicherung vom 27. Juni 1995 (KVV; SR 832.102).</w:t>
      </w:r>
    </w:p>
    <w:p>
      <w:r>
        <w:rPr>
          <w:b/>
        </w:rPr>
        <w:t>E. 1.3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Bst. c VwVG).</w:t>
      </w:r>
    </w:p>
    <w:p>
      <w:r>
        <w:rPr>
          <w:b/>
        </w:rPr>
        <w:t>E. 1.4</w:t>
      </w:r>
    </w:p>
    <w:p>
      <w:r>
        <w:t>Nach Art. 62 Abs. 4 VwVG sind Gerichte gemäss dem Grundsatz der Rechtsanwendung von Amtes wegen nicht an die Begründung der Begehren der Parteien gebunden.</w:t>
      </w:r>
    </w:p>
    <w:p>
      <w:r>
        <w:rPr>
          <w:b/>
        </w:rPr>
        <w:t>E. 1.5</w:t>
      </w:r>
    </w:p>
    <w:p>
      <w:r>
        <w:t>Die Behörde würdigt, bevor sie verfügt, alle erheblichen und rechtzeitigen Vorbringen der Parteien (Art. 32 Abs. 1 VwVG). Gemäss Art. 32 Abs. 2 VwVG kann sie verspätete Parteivorbringen, die ausschlaggebend erscheinen, trotz Verspätung berücksichtigen.</w:t>
      </w:r>
    </w:p>
    <w:p>
      <w:r>
        <w:rPr>
          <w:b/>
        </w:rPr>
        <w:t>E. 1.6</w:t>
      </w:r>
    </w:p>
    <w:p>
      <w:r>
        <w:t>Gemäss Art. 31 VGG beurteilt das Bundesverwaltungsgericht Beschwerden gegen Verfügungen nach Art. 5 des Bundesgesetzes vom 20. Dezember 1968 über das Verwaltungsverfahren (VwVG; SR 172.021). Die Genehmigung eines beantragten Prämientarifs bzw. deren Verweigerung stellt eine anfechtbare Verfügung nach Art. 5 Abs. 1 VwVG dar, bei deren Erlass die Vorschriften des VwVG zu beachten sind, und gegen die die Beschwerde an das Bundesverwaltungsgericht grundsätzlich zulässig ist (BVGE 2009/65 E. 1.2 mit weiteren Hinweisen). Im Übrigen gelten Anordnungen einer Aufsichtsbehörde gegenüber Versicherern in deren Eigenschaft als Durchführungsorgan der obligatorischen Krankenpflegeversicherung (OKP) nicht als anfechtbare Verfügungen gemäss Art. 5 Abs. 1 VwVG (RKUV 4/1997 S. 216 ff. und RKUV 6/1997 S. 399 ff.).</w:t>
      </w:r>
    </w:p>
    <w:p>
      <w:r>
        <w:rPr>
          <w:b/>
        </w:rPr>
        <w:t>E. 1.7</w:t>
      </w:r>
    </w:p>
    <w:p>
      <w:r>
        <w:t>Als weitere Prozessvoraussetzungen wurden die Beschwerde frist- und formgerecht eingereicht und der Kostenvorschuss fristgerecht geleistet (Art. 50 und 52 VwVG, Art. 63 Abs. 4 VwVG).</w:t>
      </w:r>
    </w:p>
    <w:p>
      <w:r>
        <w:rPr>
          <w:b/>
        </w:rPr>
        <w:t>E. 1.8</w:t>
      </w:r>
    </w:p>
    <w:p>
      <w:r>
        <w:t>Hinsichtlich der Beschwerdelegitimationsvoraussetzungen ergibt sich Folgendes:</w:t>
      </w:r>
    </w:p>
    <w:p>
      <w:r>
        <w:rPr>
          <w:b/>
        </w:rPr>
        <w:t>E. 1.8.1</w:t>
      </w:r>
    </w:p>
    <w:p>
      <w:r>
        <w:t>Die Legitimationsvoraussetzungen der Teilnahme am Verfahren vor der Vorinstanz (Art. 48 Abs. 1 Bst. a VwVG) und der besonderen Berührtheit durch die angefochtene Verfügung vom 13. September 2011 (Art. 48 Abs. 1 Bst. b VwVG) sind gegeben.</w:t>
      </w:r>
    </w:p>
    <w:p>
      <w:r>
        <w:rPr>
          <w:b/>
        </w:rPr>
        <w:t>E. 1.8.2</w:t>
      </w:r>
    </w:p>
    <w:p>
      <w:r>
        <w:t>Das Bundesverwaltungsgericht hat im Beschwerdeverfahren C 5735/2011 das Vorliegen eines Rechtsschutzinteresses verneint und ist auf die Beschwerde vom 17. Oktober 2011 gegen die Verfügung vom 13. September 2011 nicht eingetreten; dies insbesondere wegen Fehlens eines nicht wieder gutzumachenden Nachteils. Die Zwischenverfügung vom 13. September 2011 betreffend die Zulässigkeit der individuellen Rückvergütung ist daher im vorliegenden Beschwerdeverfahren gegen die Endverfügung zu behandeln, soweit sie sich auf den Inhalt der Endverfügung ausgewirkt hat (Art. 46 Abs. 2 VwVG).</w:t>
      </w:r>
    </w:p>
    <w:p>
      <w:r>
        <w:rPr>
          <w:b/>
        </w:rPr>
        <w:t>E. 1.8.3</w:t>
      </w:r>
    </w:p>
    <w:p>
      <w:r>
        <w:t>Betreffend das schutzwürdige Interesse im Sinne von Art. 48 Abs. 1 Bst. c VwVG hat die Beschwerdeführerin ausführen lassen, das Dispositiv der angefochtenen Verfügung vom 26. September 2011 sei unvollständig, da weder das Nichteintreten noch die Nichtbewilligung des Gesuchs enthalten seien. Die Beschwerdeführerin erleide wirtschaftliche Nachteile aus dem Umstand, dass die Vorinstanz auf das Gesuch vom 12. September 2011, das an 20. September 2011 bekräftigt worden sei, nicht eingetreten sei. Sie sei darauf angewiesen, Gewissheit zu erhalten, ob die im Gesuch vom 12. September 2011 beschriebene Gewährung einer zusätzlichen Prämienermässigung in Form einer Überschussbeteiligung als Teil des genehmigten Prämientarifs zulässig sei. Sie habe ein aktuelles und praktisches Interesse an einem materiellen Entscheid über ihr Gesuch vom 12. September 2011. Aufgrund des Umstands, dass die Beschwerdeführerin das Dispositiv der Verfügung vom 26. September 2011 (Ziff. 44 bis 46; vgl. auch E. 1.9 hiernach) nicht angefochten und die AVB entsprechend den Vorgaben der Vorinstanz - die Erfolgsbeteiligung war nicht mehr vorgesehen - revidiert hat, erscheint das Vorliegen eines Rechtsschutzinteresses zumindest fraglich. Da einerseits nicht von der Hand zu weisen ist, dass sich die Zwischenverfügung vom 13. September 2011 auf die Endverfügung vom 26. September 2011 ausgewirkt haben könnte, und andererseits die Beschwerde aus den nachfolgend dargelegten Gründen ohnehin abzuweisen ist, kann diese Frage vorliegend offen gelassen werden.</w:t>
      </w:r>
    </w:p>
    <w:p>
      <w:r>
        <w:rPr>
          <w:b/>
        </w:rPr>
        <w:t>E. 1.9.1</w:t>
      </w:r>
    </w:p>
    <w:p>
      <w:r>
        <w:t>In Ziffer 44 der angefochtenen Verfügung vom 26. September 2011 genehmigte die Vorinstanz die in Ziffer 3 bis 8 aufgeführten Prämientarife mit den überarbeiteten Nachträgen mit Wirkung ab 1. Januar 2012 bis 31. Dezember 2012. Diese genehmigten Prämientarife, welche von der Beschwerdeführerin zur Anwendung gebracht worden sind, gehören zwar zum Anfechtungsobjekt in Form der Verfügung vom 26. September 2011, jedoch mangels Anfechtung durch die Beschwerdeführerin nicht zum Streitgegenstand.</w:t>
      </w:r>
    </w:p>
    <w:p>
      <w:r>
        <w:rPr>
          <w:b/>
        </w:rPr>
        <w:t>E. 1.9.2</w:t>
      </w:r>
    </w:p>
    <w:p>
      <w:r>
        <w:t>Ebenfalls nicht angefochten wurde die in Ziffer 45 der angefochtenen Verfügung vom 26. September 2011 statuierte Informations- und Mitteilungspflicht, welche sich auf die Versicherungsmodelle "C._______" und "F._______" bezieht; dieser ist die Beschwerdegegnerin unbestrittenermassen nachgekommen.</w:t>
      </w:r>
    </w:p>
    <w:p>
      <w:r>
        <w:rPr>
          <w:b/>
        </w:rPr>
        <w:t>E. 1.9.3</w:t>
      </w:r>
    </w:p>
    <w:p>
      <w:r>
        <w:t>Die Ziffern 46 (Kostenregelung) und 47 (Eröffnung) sind ebenfalls nicht strittig resp. wurden nicht angefochten.</w:t>
      </w:r>
    </w:p>
    <w:p>
      <w:r>
        <w:rPr>
          <w:b/>
        </w:rPr>
        <w:t>E. 1.9.4</w:t>
      </w:r>
    </w:p>
    <w:p>
      <w:r>
        <w:t>Demnach ist vorliegend einerseits streitig und zu prüfen, ob die Rückvergütung als Überschussbeteiligung Teil des Prämientarifs sein kann; andererseits - mit Blick auf die Ausführungen im Entscheid C-5735/2011 - ob eine nachträgliche Rückvergütung gemäss Art. 25 AVB I._______ als privatautonome, separate Zusatzvereinbarung zwischen der Beschwerdeführerin und den Versicherten ausgestaltet werden kann oder nicht.</w:t>
      </w:r>
    </w:p>
    <w:p>
      <w:r>
        <w:rPr>
          <w:b/>
        </w:rPr>
        <w:t>E. 2.1</w:t>
      </w:r>
    </w:p>
    <w:p>
      <w:r>
        <w:t>Gemäss Art. 7 Abs. 1 KVG kann die versicherte Person unter Einhaltung einer dreimonatigen Kündigungsfrist den Versicherer auf das Ende eines Kalendersemesters wechseln. Bei der Mitteilung der neuen Prämie kann die versicherte Person den Versicherer unter Einhaltung einer einmonatigen Kündigungsfrist auf das Ende des Monats wechseln, welcher der Gültigkeit der neuen Prämie vorangeht. Der Versicherer muss die neuen, vom Bundesamt für Gesundheit (Bundesamt) genehmigten Prämien jeder versicherten Person mindestens zwei Monate im Voraus mitteilen und dabei auf das Recht, den Versicherer zu wechseln, hinweisen (Art. 7 Abs. 2 KVG).</w:t>
      </w:r>
    </w:p>
    <w:p>
      <w:r>
        <w:rPr>
          <w:b/>
        </w:rPr>
        <w:t>E. 2.2</w:t>
      </w:r>
    </w:p>
    <w:p>
      <w:r>
        <w:t>Laut Art. 61 Abs. 1 KVG legt der Versicherer die Prämien für seine Versicherten fest. Soweit dieses Gesetz keine Ausnahme vorsieht, erhebt der Versicherer von seinen Versicherten die gleichen Prämien. Die Prämientarife der obligatorischen Krankenpflegeversicherung bedürfen der Genehmigung durch den Bundesrat. Vor der Genehmigung können die Kantone zu den für ihre Bevölkerung vorgesehenen Prämientarifen Stellung nehmen; das Genehmigungsverfahren darf dadurch nicht verzögert werden (Art. 61 Abs. 5 KVG).</w:t>
      </w:r>
    </w:p>
    <w:p>
      <w:r>
        <w:rPr>
          <w:b/>
        </w:rPr>
        <w:t>E. 2.3</w:t>
      </w:r>
    </w:p>
    <w:p>
      <w:r>
        <w:t>Gemäss Art. 62 Abs. 1 KVG kann der Versicherer die Prämien für Versicherungen mit eingeschränkter Wahl des Leistungserbringers nach Art. 41 Abs. 4 vermindern. Laut Art. 62 Abs. 2 kann der Bundesrat weitere Versicherungsformen zulassen, namentlich solche, bei denen: die Versicherten die Möglichkeit erhalten, sich gegen eine Prämienermässigung stärker als nach Art. 64 an den Kosten zu beteiligen (Bst. a.); die Höhe der Prämie der Versicherten sich danach richtet, ob sie während einer bestimmten Zeit Leistungen in Anspruch genommen haben oder nicht (Bst. b.). Die Kostenbeteiligung wie auch der Verlust der Prämienermässigung bei Versicherungsformen nach Abs. 2 dürfen weder bei einer Krankenkasse noch bei einer privaten Versicherungseinrichtung versichert werden. Ebenso ist es Vereinen, Stiftungen oder anderen Institutionen verboten, die Übernahme der Kosten, die sich aus diesen Versicherungsformen ergeben, vorzusehen. Von diesem Verbot ausgenommen ist die Übernahme von Kostenbeteiligungen auf Grund öffentlich-rechtlicher Vorschriften des Bundes oder der Kantone (Art. 62 Abs. 2bis KVG). Der Bundesrat regelt die besonderen Versicherungsformen näher. Er legt insbesondere aufgrund versicherungsmässiger Erfordernisse Höchstgrenzen für die Prämienermässigungen und Mindestgrenzen für die Prämienzuschläge fest. Der Risikoausgleich nach Art. 105 bleibt in jedem Fall vorbehalten (Art. 62 Abs. 3 KVG).</w:t>
      </w:r>
    </w:p>
    <w:p>
      <w:r>
        <w:rPr>
          <w:b/>
        </w:rPr>
        <w:t>E. 2.4</w:t>
      </w:r>
    </w:p>
    <w:p>
      <w:r>
        <w:t>Laut Art. 92 Abs. 1 KVV haben die Versicherer die Prämientarife der obligatorischen Krankenpflegeversicherung sowie deren Änderungen dem BAG spätestens fünf Monate, bevor sie zur Anwendung gelangen, zur Genehmigung einzureichen. Diese Tarife dürfen erst angewandt werden, nachdem sie vom BAG genehmigt worden sind. Bei besonderen Versicherungsformen nach Art. 62 des Gesetzes sind die Prämien ebenfalls anzugeben und die entsprechenden Versicherungsbedingungen beizulegen (Art. 92 Abs. 4 KVV). Mit der Genehmigung der Prämientarife oder im Anschluss daran kann das BAG dem Versicherer Weisungen für die Festsetzung der Prämien der folgenden Geschäftsjahre erteilen (Art. 92 Abs. 5 KVV).</w:t>
      </w:r>
    </w:p>
    <w:p>
      <w:r>
        <w:rPr>
          <w:b/>
        </w:rPr>
        <w:t>E. 3.1</w:t>
      </w:r>
    </w:p>
    <w:p>
      <w:r>
        <w:t>Nach durchgeführter Sitzung vom 26. August 2011 (act. 40) gelangte die Vorinstanz - nachdem sie am 13. September 2011 betreffend die A._______ die erste Verfügung erlassen hatte (vgl. Verfahren C-5735/2011) - mit Schreiben vom 14. September 2011 an die Beschwerdegegnerin und teilte dieser mit, ihr müssten bis zum 20. September 2011 die schriftlich unterzeichneten und im Sinn der erwähnten Punkte angepassten, ab 1. Januar 2012 gültigen AVB der entsprechenden Modelle vorliegen (act. 47). Mit Eingabe vom 20. September 2011 wurden die modifizierten AVB (Ausgabe 01.2012; Gültigkeit ab 1. Januar 2012) für die Modelle "C._______" und "F._______" dem BAG eingereicht (act. 48 und 49). Nach Kontaktaufnahme des BAG mit der Beschwerdeführerin am 21. September 2011 reichte diese am 22. September 2011 die erneut modifizierten AVB nach (act. 51) und bestätigte, dass die betroffenen Versicherten schriftlich und transparent über die Änderungen informiert würden. Die in der Eingabe vom 20. September 2011 noch erwähnte Erfolgsbeteiligung war nicht mehr vorgesehen (act. 51). Die AVB gemäss Ausgabe 01.2007 zu "D._______ nach E._______ (C._______ und F._______) sind damit per 1. Januar 2012 auf dieses Produkt nicht mehr anwendbar. Somit ist festzuhalten, dass den zur Genehmigung eingereichten Prämientarifen der Modelle "C._______", F._______" und "B._______" AVB zugrunde liegen, welche die vom BAG verlangten Anforderungen erfüllen. Die revidierten AVB konnten, wie die Vorinstanz in ihrer Verfügung vom 26. September 2011 korrekt ausgeführt hat, in Anwendung von Art. 32 Abs. 2 VwVG trotz Verspätung berücksichtigt werden.</w:t>
      </w:r>
    </w:p>
    <w:p>
      <w:r>
        <w:rPr>
          <w:b/>
        </w:rPr>
        <w:t>E. 4.1</w:t>
      </w:r>
    </w:p>
    <w:p>
      <w:r>
        <w:t>Während laufendem Prämiengenehmigungsverfahren und bevor die Vorinstanz am 13. September 2011 die erste Verfügung erlassen hatte (vgl. Beschwerdeverfahren C-5735/2011), liess die Beschwerdeführerin mit Gesuch vom 12. September 2011 - betitelt als "Ergänzung des Prämienbewilligungsgesuchs für die Versicherungsmodelle C._______ und F._______" - die Genehmigung einer zusätzlichen Prämienermässigung beantragen (act. 45). Im Schreiben vom 20. September 2011 liess die Beschwerdeführerin darauf hinweisen, dass im Unterschied zu der bisherigen, vertraglich zwischen der A._______ und den Versicherten vereinbarten Erfolgsbeteiligung diese neue Prämienermässigung im Sinne einer in der Versicherungsbranche üblichen Überschussbeteiligung ein Bestandteil des Prämientarifs sei. Dementsprechend sei auch um Bewilligung dieser ergänzenden Prämienermässigung nach Art. 101c (recte: 101) Abs. 2 KVV ersucht worden.</w:t>
      </w:r>
    </w:p>
    <w:p>
      <w:r>
        <w:rPr>
          <w:b/>
        </w:rPr>
        <w:t>E. 4.2</w:t>
      </w:r>
    </w:p>
    <w:p>
      <w:r>
        <w:t>Die Gesuche um eine ergänzende Prämienermässigung vom 12. bzw. 20. September 2011 wurden im Prämiengenehmigungsverfahren nach dem 31. Juli 2011 gestellt und sind somit verspätet eingereicht worden. Die Vorinstanz kann gemäss Art. 32 Abs. 2 VwVG verspätete, ausschlaggebende Parteivorbringen trotz Verspätung berücksichtigen (vgl. E. 2.4 hiervor), was sie im vorliegenden Fall auch getan hat.</w:t>
      </w:r>
    </w:p>
    <w:p>
      <w:r>
        <w:rPr>
          <w:b/>
        </w:rPr>
        <w:t>E. 4.2.1</w:t>
      </w:r>
    </w:p>
    <w:p>
      <w:r>
        <w:t>Wie vorstehend erwähnt (vgl. E. 3. hiervor), lagen für diverse Versicherungsmodelle der A._______ die unterzeichneten AVB Ausgabe 01.2012 vor. Wie die Vorinstanz in der angefochtenen Verfügung vom 26. September 2011 in korrekter Weise festgestellt hat, ist eine Überschussbeteiligung im Sinne der Gesuche vom September 2012 um eine zusätzliche Prämienermässigung weder in dem von der Beschwerdeführerin der Vorinstanz eingereichten, zu genehmigenden Prämientarif noch in den erwähnten AVB enthalten. Es trifft zu, dass die im Schreiben vom 20. September 2011 kursiv wiedergegebenen Passagen betreffend Berechnungsmethode und Systemtreue eine Überarbeitung der AVB zur Folge haben müssten und die entsprechenden Bedingungen Teil eines neuen Prämientarifs und - damit zusammenhängend - eines neuen oder modifizierten Versicherungsmodells mit neuen oder geänderten AVB sein müssten, welche in Anwendung von Art. 92 Abs. 1 KVV fünf Monate vor der Anwendung zur Prüfung durch die Vorinstanz einzureichen gewesen wären. Mit der Unterzeichnung der neuen AVB Ausgabe 01.2012 resp. aufgrund der Erklärung vom 22. September 2011 (act. 50) verzichtete die A._______ jedoch explizit auf andere AVB.</w:t>
      </w:r>
    </w:p>
    <w:p>
      <w:r>
        <w:rPr>
          <w:b/>
        </w:rPr>
        <w:t>E. 4.2.2</w:t>
      </w:r>
    </w:p>
    <w:p>
      <w:r>
        <w:t>Ein Gesuch um Genehmigung eines Prämientarifs kann entweder gutgeheissen oder abgewiesen werden. Die Prämienermässigung, welche die Beschwerdeführerin gesuchsweise beantragt hat, ist als Teil des Prämiengenehmigungsverfahrens zu qualifizieren. Insofern kann das entsprechende Gesuch nicht ausserhalb des Genehmigungsverfahrens in einem separaten Verfahren behandelt werden. Da gemäss den aktuell gültigen, von der Vorinstanz genehmigten AVB auf die entsprechenden Passagen (act. 50) verzichtet worden war und sich die Praxis, dass das BAG nur Prämientarife zu Modellen prüft, für die bei Eingabe vor der Frist vom 31. Juli 2011 bereits vorformulierte AVB vorliegen, nicht beanstanden lässt, bleibt für die spätere Eingabe von Tarifen, welche als neues Modell mit entsprechenden AVB ausgestaltet werden müssten, kein Raum. Ergänzend ist diesbezüglich insbesondere zu erwähnen, dass die Beschwerdeführerin im Rahmen der Gewährung des rechtlichen Gehörs betreffend Prämiengenehmigung 2012 kein entsprechendes Gesuch eingereicht hat und die letztmals bis zum 7. September 2011 gewährte Frist zur Stellungnahme unbenutzt verstreichen liess (act. 42; vgl. auch act. 39 und 40).</w:t>
      </w:r>
    </w:p>
    <w:p>
      <w:r>
        <w:rPr>
          <w:b/>
        </w:rPr>
        <w:t>E. 4.2.3</w:t>
      </w:r>
    </w:p>
    <w:p>
      <w:r>
        <w:t>Aufgrund der vorstehenden Erwägungen ist als Zwischenergebnis zusammenfassend festzuhalten, dass die Gesuche vom 12. und 20. September 2011 als verspätete Eingaben im Prämiengenehmigungsverfahren zu qualifizieren sind. Nachdem die Beschwerdeführerin sowohl die Frist gemäss Art. 92 Abs. 1 und 4 KVV als auch diejenige im Rahmen des rechtlichen Gehörs bis zum 7. September 2011 (act. 42 und 44) verpasst hatte, konnte das Gesuch für die zu genehmigenden Prämien für das "D._______ nach E._______" nicht (mehr) geprüft werden. Im Übrigen hat die Beschwerdeführerin der Vorinstanz mit Eingabe vom 22. September 2011 eine Version der AVB für das Jahr 2012 eingereicht, in der die Erfolgsbeteiligung - entsprechend der Weisung des BAG - nicht mehr enthalten ist (act. 51 und 52). Die Vorinstanz hat daher das Gesuch der Beschwerdeführerin vom 12. resp. 20. September 2011 betreffend das System der "individuellen Erfolgsbeteiligung" im Rahmen des Erlasses der angefochtenen Verfügung vom 26. September 2013 betreffend den Prämientarif 2012 zu Recht nicht berücksichtigt. Ergänzend ist darauf hinzuweisen, dass das Verhalten der Beschwerdeführerin, einerseits die Erfolgsbeteiligung aus den AVB zu löschen und die Genehmigung des Prämientarifs explizit nicht anzufechten und andererseits zu rügen, das Gesuch vom 12. resp. 20. September 2011 hätte als Teil der Prämiengenehmigungsverfügung vom 26. September 2011 gutgeheissen werden müssen, widersprüchlich ist.</w:t>
      </w:r>
    </w:p>
    <w:p>
      <w:r>
        <w:rPr>
          <w:b/>
        </w:rPr>
        <w:t>E. 4.2.4</w:t>
      </w:r>
    </w:p>
    <w:p>
      <w:r>
        <w:t>Die angefochtene Prämiengenehmigungsverfügung vom 26. September 2011 ist aus diesen Gründen nicht zu beanstanden.</w:t>
      </w:r>
    </w:p>
    <w:p>
      <w:r>
        <w:rPr>
          <w:b/>
        </w:rPr>
        <w:t>E. 5</w:t>
      </w:r>
    </w:p>
    <w:p>
      <w:r>
        <w:t>Zu prüfen ist nachfolgend die Rüge der Beschwerdeführerin, die Zwischenverfügung der Vorinstanz vom 13. September 2011 sei insofern rechtswidrig, als sie die Gesetzwidrigkeit des dazumal in den AVB verankerten Systems der "individuellen Rückvergütung" festgestellt habe. Unbestritten ist, dass für die "individuelle Rückvergütung" keine gesetzliche Regelung im KVG oder in der KVV existiert. Nachfolgend ist zu prüfen, ob das von der Beschwerdeführerin praktizierte System der nachträglichen individuellen Rückvergütung trotzdem rechtmässig ist.</w:t>
      </w:r>
    </w:p>
    <w:p>
      <w:r>
        <w:rPr>
          <w:b/>
        </w:rPr>
        <w:t>E. 5.1</w:t>
      </w:r>
    </w:p>
    <w:p>
      <w:r>
        <w:t>Die Beschwerdeführerin vertrat in ihrer Beschwerde vom 17. Oktober 2011 gegen die Verfügung der Vorinstanz vom 13. September 2011 (vgl. Verfahren C-5735/2011) die Auffassung, dass die Rückvergütung nicht gegen das System von Art. 62, Art. 41 Abs. 4 KVG und Art. 93 ff. sowie Art. 101 KVV verstosse. Dass die Rückvergütung von keiner Bestimmung des KVG oder der KVV erwähnt werde, schade nicht. Sie sei Ausdruck privatautonomen Verhaltens, basiere auf der Wirtschaftsfreiheit (Art. 27 BV), könne die Kosten der Krankenversicherung über positive Anreize zusätzlich reduzieren und sei zuzulassen, weil sie die zwingenden Bestimmungen des Krankenversicherungsrechts nicht verletze.</w:t>
      </w:r>
    </w:p>
    <w:p>
      <w:r>
        <w:rPr>
          <w:b/>
        </w:rPr>
        <w:t>E. 5.2</w:t>
      </w:r>
    </w:p>
    <w:p>
      <w:r>
        <w:t>Die Vorinstanz hingegen führte in ihrer Vernehmlassung vom 27. Januar 2012 im Beschwerdeverfahren C-5735/2011 insbesondere aus, die Beschwerdeführerin verfüge in keiner Weise über Regelungsautonomie für die Einrichtung einer "individuellen Erfolgsbeteiligung" und sie stütze sich auf eine "privatautonome Vereinbarung" durch eine unhaltbar weitschweifige Auslegung des Legalitätsprinzips. Die "Relativierung" (Ablösung) des Legalitätsprinzips im Sinn der Beschwerdeführerin durch die Privatautonomie hätte zur Folge, dass sich die Krankenversicherer nicht mehr an das KVG zu halten hätten, soweit es ihnen nicht ausdrücklich etwas verbiete. Die "individuelle Erfolgsbeteiligung" als "privatrechtlich vereinbarte Leistung" würde sich so der rechtsstaatlichen Kontrolle der Versicherten (durch Beschwerde; Art. 56 ATSG) wie auch der Aufsichtsbehörde (durch Verfügung; Art. 61 Abs. 5 KVG, Art. 21 Abs. 3 KVG) vollständig entziehen.</w:t>
      </w:r>
    </w:p>
    <w:p>
      <w:r>
        <w:rPr>
          <w:b/>
        </w:rPr>
        <w:t>E. 5.3.1</w:t>
      </w:r>
    </w:p>
    <w:p>
      <w:r>
        <w:t>In Art. 5 Abs. 1 der Bundesverfassung der Schweizerischen Eidgenossenschaft vom 18. April 1999 (BV; SR 101) ist das Legalitätsprinzip statuiert. Der Grundsatz der Gesetzmässigkeit (auch: Legalitätsprinzip) bedeutet, dass Grundlage und Schranke staatlichen Handelns das Recht ist und jedes staatliche Handeln einer gültigen gesetzlichen Grundlage bedarf (Pierre Tschannen/Ulrich Zimmerli/Markus Müller, Allgemeines Verwaltungsrecht, 3. Auflage, Bern, 2009, § 19 Rz. 1). Das Gesetzmässigkeitsprinzip gilt grundsätzlich für die gesamte Verwaltungstätigkeit (Ulrich Häfelin/Georg Müller/Felix Uhlmann, Allgemeines Verwaltungsrecht, 6. Auflage, Zürich/St. Gallen, 2010, Rz. 420 S. 96).</w:t>
      </w:r>
    </w:p>
    <w:p>
      <w:r>
        <w:rPr>
          <w:b/>
        </w:rPr>
        <w:t>E. 5.3.2</w:t>
      </w:r>
    </w:p>
    <w:p>
      <w:r>
        <w:t>Nach Art. 117 Abs. 1 BV erlässt der Bund Vorschriften über die Kranken- und Unfallversicherung. Der Bund erhielt mit Art. 117 BV einen umfassenden, konkurrierenden Gesetzgebungsauftrag im Sinne einer nachträglich derogatorischen Bundeskompetenz. Diese Regelungszuständigkeit erlaubt dem Bund eine Monopolisierung der Kranken- und Unfallversicherung (Gebhard Eugster, Krankenversicherung, 1. Kapitel [Rechtliche Grundlagen]) in: Schweizerisches Bundesverwaltungsrecht, Band XIV, Soziale Sicherheit, Ulrich Meyer [Hrsg.], 2. Auflage, Basel, 2007, Rz. § 1 Rz. 1 S. 399).</w:t>
      </w:r>
    </w:p>
    <w:p>
      <w:r>
        <w:rPr>
          <w:b/>
        </w:rPr>
        <w:t>E. 5.3.3</w:t>
      </w:r>
    </w:p>
    <w:p>
      <w:r>
        <w:t>Betreffend die Frage, ob Krankenversicherer befugt sind, mittels Reglementen ergänzendes KV-Recht zu schaffen, ist festzuhalten, dass diese nur in jenen Bereichen autonom reglementieren können, für welche ihnen das KVG eine solche Befugnis ausdrücklich einräumt. Darüber hinaus bleiben die Versicherer lediglich in der Organisation des Geschäftsbetriebes, in Personalfragen und in der Regelung administrativer Verfahrensabläufe autonom. Als Durchführungsorgan der mittelbaren Staatsverwaltung sind sie Selbstverwaltungsträger. Sie haben daher die ihnen vom KVG zugewiesenen Aufgaben mit eigenen technischen, personellen und finanziellen Mitteln zu lösen. Das schliesst aber bei allfälligen gesetzlichen Regelungslücken keine gesetzesergänzende Regelungskompetenz mit ein (Gebhard Eugster, Krankenversicherung, 1. Kapitel [Rechtliche Grundlagen]) in: Schweizerisches Bundesverwaltungsrecht, Band XIV, Soziale Sicherheit, Ulrich Meyer [Hrsg.], 2. Auflage, Basel, 2007, Rz. 8 S. 402 und 13 S. 403 f. mit Hinweisen; vgl. auch Ulrich Häfelin/Georg Müller/Felix Uhlmann, a.a.O., Rz. 1512 ff. S. 339 f. mit Hinweisen).</w:t>
      </w:r>
    </w:p>
    <w:p>
      <w:r>
        <w:rPr>
          <w:b/>
        </w:rPr>
        <w:t>E. 5.3.4</w:t>
      </w:r>
    </w:p>
    <w:p>
      <w:r>
        <w:t>Über eine beschränkte Autonomie verfügen die Krankenversicherer im Bereich der Prämienfestsetzung nur insofern, als das KVG und die KVV dies vorsehen (RKUV 6/1997 KV 18 S. 399 ff. E. 6.6.2). Die Beschwerdeführerin überschreitet daher ihre Regelungskompetenz resp. ihren Durchführungsauftrag, soweit sie Regeln bzw. AVB ausserhalb der ihr zustehenden Regelungsautonomie setzt. Der Gesetzgeber hat die Grundsätze der Prämienfestsetzung in Art. 61 ff. KVG geregelt, und der Bundesrat hat dazu Verordnungsbestimmungen erlassen (Art. 89 ff. KVV). Damit ist der Rahmen für die Autonomie bei der Prämienfestsetzung abgesteckt. Da sich die Beschwerdeführerin auf keine konkrete gesetzliche Grundlage berufen kann, welche ihr eine entsprechende Regelungsautonomie einräumt, besteht kein Raum für die Einrichtung einer "individuellen Rückvergütung" mittels "privatautonomer Vereinbarung".</w:t>
      </w:r>
    </w:p>
    <w:p>
      <w:r>
        <w:rPr>
          <w:b/>
        </w:rPr>
        <w:t>E. 5.4</w:t>
      </w:r>
    </w:p>
    <w:p>
      <w:r>
        <w:t>Die Beschwerdeführerin beruft sich auf die Wirtschaftsfreiheit gemäss Art. 27 BV, welche es ihr erlaube, eine "individuelle Rückvergütung" vorzusehen. Aber auch aus Art. 27 BV kann die Beschwerdeführerin nichts zu ihren Gunsten ableiten. Dies aus folgenden Gründen: Wie dargelegt sind Art. 41 Abs. 4 KVG, Art. 61 Abs. 1 KVG und Art. 101 KVV (nebst zahlreichen weiteren Gesetzes- und Verordnungsbestimmungen) zwingender Natur. Die Autonomie der Beschwerdeführerin betreffend die Prämiengestaltung beschränkt sich auf den in diesem Sinn von KVG und KVV abgesteckten Rahmen. Soweit die Beschwerdeführerin als Durchführungsorgan der obligatorischen Grundversicherung nach den Vorschriften des KVG tätig ist, kann sie sich daher nicht auf den verfassungsmässigen Grundsatz der Wirtschaftsfreiheit berufen, um privatrechtliche Vereinbarungen ausserhalb dieses Rahmens abzuschliessen. Die Beschwerdeführerin geht somit fehl in der Annahme, sie könne sich im vorliegenden Fall auf die in BVGE 2009/65 (C 6958/2008 vom 8. Dezember 2009) erwähnte Wirtschaftsfreiheit berufen.</w:t>
      </w:r>
    </w:p>
    <w:p>
      <w:r>
        <w:rPr>
          <w:b/>
        </w:rPr>
        <w:t>E. 6</w:t>
      </w:r>
    </w:p>
    <w:p>
      <w:r>
        <w:t>Nachfolgend ist weiter zu prüfen, ob die Beschwerdeführerin aus dem Grundsatz des Vertrauensschutzes etwas zu ihren Gunsten ableiten kann.</w:t>
      </w:r>
    </w:p>
    <w:p>
      <w:r>
        <w:rPr>
          <w:b/>
        </w:rPr>
        <w:t>E. 6.1</w:t>
      </w:r>
    </w:p>
    <w:p>
      <w:r>
        <w:t>Wie bereits dargelegt lässt sich die individuelle Rückvergütung nicht auf eine ausreichende gesetzliche Grundlage stützen. Aus der anfänglich erteilten Zustimmung des BAG zu den Bonusmodellen kann die Beschwerdeführerin nichts zu ihren Gunsten ableiten; dies aufgrund des Umstands, dass eine vorübergehende Duldung eines rechtswidrigen Zustands - wie er nach dem Dargelegten vorgelegen hatte - die Vorinstanz nicht an der späteren Behebung dieses Zustandes hindert. Eine Vertrauensgrundlage, die der Wiederherstellung der Rechtmässigkeit ganz oder teilweise entgegensteht, wird durch behördliche Untätigkeit nur in Ausnahmefällen geschaffen (Ulrich Häfelin/Georg Müller/Felix Uhlmann, a.a.O., Rz. 652 S. 147 mit Hinweisen). Eine solche Ausnahme liegt mit Blick auf die Ausführungen der Vorinstanz in ihrer Verfügung vom 13. September 2011 nicht vor, und jene hat die individuelle Rückvergütung zu Recht nicht nachträglich resp. rückwirkend aufgehoben. Da vorliegend keine vermögenswerten Ansprüche von Privaten gegenüber dem Staat vorliegen resp. zu beurteilen sind, sind der Beschwerdeführerin auch keine - besonders rechtsbeständige - wohlerworbene Rechte entstanden (vgl. hierzu bspw. Ulrich Häfelin/Georg Müller/Felix Uhlmann, a.a.O., Rz. 1008 S. 223 mit Hinweisen).</w:t>
      </w:r>
    </w:p>
    <w:p>
      <w:r>
        <w:rPr>
          <w:b/>
        </w:rPr>
        <w:t>E. 6.2</w:t>
      </w:r>
    </w:p>
    <w:p>
      <w:r>
        <w:t>Betreffend den Hinweis der Beschwerdeführerin auf die im Verfügungszeitpunkt hängig gewesene Managed Care Vorlage ist darauf hinzuweisen, dass die Bestimmungen dieser Revisionsvorlage nicht zur Anwendung gelangen können, da eine positive Vorwirkung grundsätzlich unzulässig ist. Dies gilt insbesondere - nebst dem Legalitätsprinzip - aufgrund der Tatsache, dass in der Regel nicht vorhergesehen werden kann, ob und wann eine neue Regelung in Kraft tritt (Ulrich Häfelin/Georg Müller/Felix Uhlmann, a.a.O., Rz. 348 S. 76 mit Hinweisen). Einschlägige Weiterungen erübrigen sich daher.</w:t>
      </w:r>
    </w:p>
    <w:p>
      <w:r>
        <w:rPr>
          <w:b/>
        </w:rPr>
        <w:t>E. 7</w:t>
      </w:r>
    </w:p>
    <w:p>
      <w:r>
        <w:t>Nach dem Dargelegten ergibt sich zusammenfassend, dass die Beschwerde vom 25. Oktober 2011 als unbegründet abzuweisen ist, soweit darauf einzutreten ist.</w:t>
      </w:r>
    </w:p>
    <w:p>
      <w:r>
        <w:rPr>
          <w:b/>
        </w:rPr>
        <w:t>E. 8</w:t>
      </w:r>
    </w:p>
    <w:p>
      <w:r>
        <w:t>Zu befinden bleibt noch über die Verfahrenskosten und eine allfällige Parteientschädigung.</w:t>
      </w:r>
    </w:p>
    <w:p>
      <w:r>
        <w:rPr>
          <w:b/>
        </w:rPr>
        <w:t>E. 8.1</w:t>
      </w:r>
    </w:p>
    <w:p>
      <w:r>
        <w:t>Gemäss Art. 63 Abs. 1 VwVG ist das Beschwerdeverfahren vor dem Bundesverwaltungsgericht kostenpflichtig und hat die Beschwerdeführerin entsprechend dem Ausgang des Verfahrens die Verfahrenskosten zu tragen. Die Gerichtsgebühr bemisst sich nach Umfang und Schwierigkeit der Streitsache, Art der Prozessführung und finanzieller Lage der Parteien (Art. 63 Abs. 4bis VwVG, Art. 2 Abs. 1 VGKE). Die Verfahrenskosten sind in Berücksichtigung sämtlicher dieser Kriterien, des Verfahrensausgangs und des erforderlichen Aufwands auf Fr. 4'000.- festzulegen und mit dem bereits geleisteten Verfahrenskostenvorschuss in gleicher Höhe zu verrechnen.</w:t>
      </w:r>
    </w:p>
    <w:p>
      <w:r>
        <w:rPr>
          <w:b/>
        </w:rPr>
        <w:t>E. 8.2</w:t>
      </w:r>
    </w:p>
    <w:p>
      <w:r>
        <w:t>Parteientschädigungen sind keine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