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C-5894/2010 vom 26. August 2011</w:t>
      </w:r>
    </w:p>
    <w:p>
      <w:r>
        <w:t>Bundesverwaltungsgericht, 2011-08-26, DE</w:t>
      </w:r>
    </w:p>
    <w:p>
      <w:r>
        <w:rPr>
          <w:b/>
        </w:rPr>
        <w:t xml:space="preserve">Quelle: </w:t>
      </w:r>
      <w:r>
        <w:t>https://mcp.opencaselaw.ch/entscheid/bvger_C-5894_2010</w:t>
      </w:r>
    </w:p>
    <w:p>
      <w:r>
        <w:t>FR: TAF C-5894/2010 du 26 août 2011</w:t>
      </w:r>
    </w:p>
    <w:p>
      <w:r>
        <w:t>IT: TAF C-5894/2010 del 26 agosto 2011</w:t>
      </w:r>
    </w:p>
    <w:p>
      <w:pPr>
        <w:pStyle w:val="Heading2"/>
      </w:pPr>
      <w:r>
        <w:t>Regeste</w:t>
      </w:r>
    </w:p>
    <w:p>
      <w:r>
        <w:t>Heilmittel (Übriges)</w:t>
      </w:r>
    </w:p>
    <w:p>
      <w:pPr>
        <w:pStyle w:val="Heading2"/>
      </w:pPr>
      <w:r>
        <w:t>Erwägungen</w:t>
      </w:r>
    </w:p>
    <w:p>
      <w:r>
        <w:rPr>
          <w:b/>
        </w:rPr>
        <w:t>E. 1</w:t>
      </w:r>
    </w:p>
    <w:p>
      <w:r>
        <w:t>Angefochten sind die Verfügungen des Instituts vom 20. Juli 2010 und vom 18. Januar 2011, mit welchen die Vernichtung von zwei an den Beschwerdeführer gerichteten Sendungen mit je 60 Kapseln Li Da Daidaihua angeordnet und dem Beschwerdeführer Verwaltungsgebühren von je Fr. 300.-- auferlegt worden sind.</w:t>
      </w:r>
    </w:p>
    <w:p>
      <w:r>
        <w:rPr>
          <w:b/>
        </w:rPr>
        <w:t>E. 1.1</w:t>
      </w:r>
    </w:p>
    <w:p>
      <w:r>
        <w:t>Die Zuständigkeit zur Beurteilung der vorliegenden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Beschwerden zuständig.</w:t>
      </w:r>
    </w:p>
    <w:p>
      <w:r>
        <w:rPr>
          <w:b/>
        </w:rPr>
        <w:t>E. 1.2</w:t>
      </w:r>
    </w:p>
    <w:p>
      <w:r>
        <w:t>Der Beschwerdeführer, der als Partei an den vorinstanz­lichen Ver­fah­ren teilgenommen hat, ist durch die angefochtenen Verfügungen be­son­ders berührt und hat an deren Aufhebung ein schutzwürdiges Interes­se (vgl. Art. 48 Abs. 1 VwVG). Nachdem die Kosten­vorschüsse frist­gereicht geleistet worden sind, kann auf die frist- und form­gerecht einge­reichten Beschwerden eingetreten werden.</w:t>
      </w:r>
    </w:p>
    <w:p>
      <w:r>
        <w:rPr>
          <w:b/>
        </w:rPr>
        <w:t>E. 2</w:t>
      </w:r>
    </w:p>
    <w:p>
      <w:r>
        <w:t>Das Verfahren vor dem Bundesverwaltungsgericht richtet sich im We­sent­lichen nach den Vor­schriften des VwVG und des VGG. 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3</w:t>
      </w:r>
    </w:p>
    <w:p>
      <w:r>
        <w:t>Der Beschwerdeführer macht in seiner Beschwerde vom 12. Februar 2011 geltend, den Vorbescheid des Instituts vom 5. Juli 2010 nicht erhalten und erst durch das Vernehmlassungsverfahren des Instituts vom 13. September 2010 erfahren zu haben, dass es sich um zwei Sendungen handelt. Das Institut bringt vor, der Vorbescheid vom 5. Juli 2010 sei an den Beschwerdeführer eingeschrieben mit der Sendungsnummer 98.00.307067.00117815 verschickt worden. Da eine Rückverfolgung des Erhalts nach dem System "track-and-trace" der Post nur während 180 Tagen möglich sei, könne vom Institut nicht mehr festgestellt werden, wann der Vorbescheid dem Beschwerdeführer zugestellt worden sei. Mit dem Mittel des Vorbescheids gewährt das Institut den betroffenen Personen das rechtliche Gehör. Vorliegend kann aus den nachfolgenden Gründen offen bleiben, ob bzw. wann der Beschwerdeführer den Vorbescheid erhalten hat und das Institut ihm das rechtliche Gehör gewährt hat. Gemäss Rechtsprechung kann eine nicht besonders schwer wiegende Verletzung des rechtlichen Gehörs als geheilt gelten, wenn die betroffene Person die Möglichkeit erhält, sich vor einer Beschwerdeinstanz zu äussern, die sowohl den Sachverhalt als auch die Rechtslage überprüfen kann, auch wenn die Heilung eines allfälligen Mangels die Ausnahme bleiben soll (statt vieler BGE 126 I 68 E. 2). Im vorliegenden Fall hat der Beschwerdeführer im zweiten Verfahren (C-1083/2011) keine Einwände vorgebracht, die er nicht bereits im ersten Verfahren (C-5894/2010) vor dem Institut vorgebracht hätte. Zudem waren dem Institut die Einwände des Beschwerdeführers, die ohne weiteres auch auf die zweite Sendung übertragen werden konnten, bekannt. Von einer schweren Verletzung des rechtlichen Gehörs könnte deshalb von vornherein nicht gesprochen werden. Die zweite Verfügung des Instituts enthält sodann im Wesentlichen die gleiche Begründung wie die erste Verfügung, zu welcher sich der Beschwerdeführer vorgängig geäussert hatte. Schliesslich hatte der Beschwerdeführer die Gelegenheit, vor einer Instanz mit voller Kognition (dem Bundesverwaltungsgericht) zur Begründung des Instituts eingehend Stellung zu nehmen. Eine allfällige Verletzung des rechtlichen Gehörs müsste deshalb als geheilt gelten, zumal eine Rückweisung an das Institut ein prozessualer Leerlauf wäre. Die Rüge des Beschwerdeführers erweist sich somit als unbegründet.</w:t>
      </w:r>
    </w:p>
    <w:p>
      <w:r>
        <w:rPr>
          <w:b/>
        </w:rPr>
        <w:t>E. 4</w:t>
      </w:r>
    </w:p>
    <w:p>
      <w:r>
        <w:t>Der Beschwerdeführer bestreitet, die fraglichen Sendungen bestellt zu haben. Er macht geltend, das Ganze am Anfang für einen Scherz gehalten und gemeint zu haben, dass ihn jemand ärgern wolle, der ihn nicht möge oder der nicht eingebürgert worden sei (der Beschwerdeführer ist Gemeinderat). Die erste Lieferung sei am 4. März 2010 zurückgehalten worden, doch sei die Einfuhr "erst am 1. April 2010" verboten worden. Er wundere sich, dass "man auf Grund der Adresse auf dem Paket einfach bestraft" werde. Er könne "also jedem diese Kapseln bestellen (kostet mich ca. 50 Franken) und er bekommt eine Busse von Fr. 300.-- und hat den Ärger am Hals". In einer anderen Eingabe bringt er vor, er bestelle doch nicht zwei Mal 60 Kapseln Li Da Daidaihua, die man übrigens für 60 Euro bekomme, wenn er einen Monatsbedarf von 30 Kapseln als Einzelperson einführen dürfe.</w:t>
      </w:r>
    </w:p>
    <w:p>
      <w:r>
        <w:rPr>
          <w:b/>
        </w:rPr>
        <w:t>E. 4.1</w:t>
      </w:r>
    </w:p>
    <w:p>
      <w:r>
        <w:t>Die Vorinstanz stellt in ihrer Verfügung fest, dass die beiden Sendungen an den Beschwerdeführer mit dessen vollen, genauen Namen und Adresse adressiert gewesen seien und keine Rechnung beigelegt gewesen sei. Erfahrungsgemäss müssten solche Bestellungen im Ausland immer im Voraus bezahlt werden. Die Erklärungen des Beschwerdeführers würden nicht überzeugen und seien als blosse Schutzbehauptungen anzusehen. Dass sich jemand einen Scherz erlaubt habe, sei angesichts des Werts von ca. 90 Euro für 60 Kapseln Li Da Daidaihua sehr unwahrscheinlich. Deshalb sei davon auszugehen, dass der Beschwerdeführer der rechtmässige Empfänger gewesen sei bzw. selber die Ware bestellt habe.</w:t>
      </w:r>
    </w:p>
    <w:p>
      <w:r>
        <w:rPr>
          <w:b/>
        </w:rPr>
        <w:t>E. 4.2</w:t>
      </w:r>
    </w:p>
    <w:p>
      <w:r>
        <w:t>Diese Beweiswürdigung ist nicht zu beanstanden. Zunächst fällt auf, dass der Beschwerdeführer erst mit Vorbescheid vom 1. Juni 2010 im Verfahren C-5894/2010 davon erfahren hat, dass die an ihn adressierte Sendung mit 60 Kapseln Li Da Daidaihua am 4. März 2010 am Zoll abgefangen worden war. Der Umstand, dass bereits am 10. Juni 2010 eine weitere Sendung gleichen Inhalts, adressiert an den Beschwerdeführer, am Zoll zurückgehalten wurde, lässt sich kaum als Zufall abtun. Vielmehr legt der zeitliche Ablauf den Verdacht nahe, dass der Beschwerdeführer erneut eine Bestellung aufgab, als er bemerkte, dass die erste Bestellung bei ihm nicht eingetroffen war. Es ist sodann darauf hinzuweisen, dass der Beschwerdeführer weder seinen Verdacht, jemand habe ihm damit einen Streich gespielt, konkretisiert hat, noch im Verlauf des Verfahrens z.B. Bank(karten-)auszüge zum Beleg seines Zahlungsverkehrs in der fraglichen Zeitspanne anbot, obschon er nach Art. 13 VwVG verpflichtet war, an der Feststellung des Sachverhalts mitzuwirken. Ferner belegt der Beschwerdeführer in seinen Eingaben, dass er das Mittel Li Da Daidaihua, dessen Wirkungen und Wert recht gut kennt, obschon es in der Bevölkerung kaum bekannt sein dürfte. Wie die Vorinstanz schliesslich zu Recht vorbringt, ist allein schon aufgrund des Wertes der Sendungen ein Scherz einer nicht bekannten Person vernünftigerweise auszuschliessen.</w:t>
      </w:r>
    </w:p>
    <w:p>
      <w:r>
        <w:rPr>
          <w:b/>
        </w:rPr>
        <w:t>E. 4.3</w:t>
      </w:r>
    </w:p>
    <w:p>
      <w:r>
        <w:t>All die genannten Umständen lassen es als überwiegend wahrscheinlich erscheinen, dass der Beschwerdeführer selber die fraglichen Sendungen bestellt und (vor-)bezahlt hat. Bei dieser Sachlage kann in antizipierter Beweiswürdigung darauf verzichtet werden, die vom Beschwerdeführer genannten Personen dahingehend zu befragen, ob dieser zu dick sei und solche Pillen benötige (vgl. das letzte Schreiben des Beschwerdeführers vom 12. Juli 2011). Sowohl die eigene als auch die fremde Einschätzung von Übergewicht bzw. des Bedürfnisses einer Person, abzunehmen, sind subjektiv und vermöchten keine Zweifel am dargelegten Beweisergebnis zu begründen.</w:t>
      </w:r>
    </w:p>
    <w:p>
      <w:r>
        <w:rPr>
          <w:b/>
        </w:rPr>
        <w:t>E. 4.4</w:t>
      </w:r>
    </w:p>
    <w:p>
      <w:r>
        <w:t>Die Vorinstanz hat deshalb ohne Bundesrecht zu verletzen festgestellt, dass der Beschwerdeführer die fraglichen zwei Sendungen selber bestellt hat.</w:t>
      </w:r>
    </w:p>
    <w:p>
      <w:r>
        <w:rPr>
          <w:b/>
        </w:rPr>
        <w:t>E. 5</w:t>
      </w:r>
    </w:p>
    <w:p>
      <w:r>
        <w:t>Umstritten ist im vorliegenden Verfahren im Wesentlichen, ob die Einfuhr des an der Grenze zurückgehaltenen Produktes Li Da Daidaihua zulässig ist, weil es in einer für den Eigengebrauch des Beschwerdeführers erforderlichen, im Sinne des Gesetzes kleinen Menge importiert werden sollte. Im Folgenden ist vorab dar­zustellen, unter welchen Voraussetzungen die Vorschriften des Heilmittel­rechts die Einfuhr von Arzneimitteln zum Eigen­gebrauch zulassen.</w:t>
      </w:r>
    </w:p>
    <w:p>
      <w:r>
        <w:rPr>
          <w:b/>
        </w:rPr>
        <w:t>E. 5.1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5.1.1</w:t>
      </w:r>
    </w:p>
    <w:p>
      <w:r>
        <w:t>Zulassungspflichtige, aber nicht zugelassene, verwendungsfertige Arzneimittel dürfen nicht in Verkehr gebracht werden (Art. 9 Abs. 1 i.V.m.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5.1.2</w:t>
      </w:r>
    </w:p>
    <w:p>
      <w:r>
        <w:t>Von dieser Rechtsetzungsdelegation hat der Bundesrat Ge­brauch gemacht und in Art. 36 Abs. 1 AMBV die Voraussetzungen umschrieben, unter denen ausnahmsweise die Einfuhr nicht zugelas­sener, zulassungs­pflichtiger Arzneimittel durch Einzelpersonen erlaubt ist. Diese Be­stimmung hat (in der heute geltenden Fassung vom 18. August 2004 [AS 2004 4037]) folgenden Wortlaut: "Eine Einzelperson darf verwendungsfertige Arzneimittel, die in der Schweiz nicht zugelassen sind, in der für den Eigengebrauch er­for­der­lichen kleinen Menge einführen."</w:t>
      </w:r>
    </w:p>
    <w:p>
      <w:r>
        <w:rPr>
          <w:b/>
        </w:rPr>
        <w:t>E. 5.1.3</w:t>
      </w:r>
    </w:p>
    <w:p>
      <w:r>
        <w:t>Heilmittel (Arzneimittel und Medizinprodukte) sind Produkte, die in einem medizinischen Zusammenhang bzw. Umfeld Anwen­dung finden und der Erken­nung, Ver­hütung oder Behandlung von Krank­heiten bei Men­sch und Tier dienen (vgl. E. 3.1 hiervor). Nach dem Willen des Ge­setzgebers bildet die medi­zini­sche Ver­wendung das zentrale Defini­tionselement (vgl. die Botschaft des Bundesrates vom 1. März 1999 zu einem Bun­desgesetz über Arznei­mittel und Medizinprodukte, BBl 1999 S. 3453 ff. [im Folgenden: Bot­schaft HMG], Separatdruck S. 37). Gemäss dem Wort­laut von Art. 4 Abs. 1 Bst. a HMG sind Arzneimittel entweder zum erwähnten Zweck "bestimmt" (im Sinne einer objektiven Eignung zum vorge­se­henen Ein­satz), oder sie werden dafür "ange­prie­sen". Im euro­päischen Recht und in der diesbezüglichen Praxis (die zu berück­sichtigen sind; vgl. Bot­schaft HMG S. 35 f.) wird in diesem Zusam­men­hang einerseits der Begriff des Funktionsarzneimit­tels, andererseits des Prä­sen­tations- oder Bezeichnungsarzneimittels ver­wendet (vgl. da­zu Art. 1 Abs. 2 der EU-Richtlinie 2001/83, Urteil des EuGH in der Rechts­sache 227/82, Rn. 8; Urteil des deutschen Bundesver­waltungs­ge­richts 3 C 23.06 vom 25. Juli 2007 [www.lexetius.com/ 2007,3344] mit Hin­weisen).</w:t>
      </w:r>
    </w:p>
    <w:p>
      <w:r>
        <w:rPr>
          <w:b/>
        </w:rPr>
        <w:t>E. 5.1.4</w:t>
      </w:r>
    </w:p>
    <w:p>
      <w:r>
        <w:t>Die Vorinstanz bringt in den angefochtenen Verfügungen und ihren Stellungnahmen vor, die fraglichen Kapseln seien zum Abnehmen bestimmt. Frühere Laboranalysen hätten ergeben, dass in den Li Da Daidaihua Schlankheitsmitteln nicht deklarierte synthetische Wirkstoffe enthalten seien. Unter anderem seien grosse Mengen an Sibutramin gefunden worden. Die Abgabe von Präparaten, die Sibutramin enthielten, sei seit Ende März 2010 in der Schweiz wegen Herz-Kreislauf-Risiken verboten. Das Gleiche sei schon in verschiedenen europäischen Ländern der Fall und werde voraussichtlich bald für die ganze EU gelten.</w:t>
      </w:r>
    </w:p>
    <w:p>
      <w:r>
        <w:rPr>
          <w:b/>
        </w:rPr>
        <w:t>E. 5.1.5</w:t>
      </w:r>
    </w:p>
    <w:p>
      <w:r>
        <w:t>Sibutramin ist ein Arzneistoff mit starken Nebenwirkungen, der als Appetitzügler zur Reduktion von starkem Übergewicht verwendet wird. Er wirkt über die indirekte Stimulierung des vegetativen Nervensystems. Wie das Institut glaubwürdig vorbringt, haben frühere Laboranalysen von Li Da Daidaihua Schlankheitsmitteln nicht deklarierte synthetische Wirkstoffe und insbesondere grosse Mengen an Sibutramin ergeben. Das zu beurteilende Produkt soll gemäss Anpreisung auf der Packung (vgl. act. Vorinstanz 3) dem "Weight Loss" dienen. Angesichts der Anpreisung und des relativ hohen Preises soll es auch nach dem Verständnis der Konsumenten ohne Zweifel medizinischen Zwecken dienen und ist dazu aus objektiver Sicht, bei richtiger Zusam­mensetzung, auch geeignet. Entscheidend ist die der Produkte­infor­mation bzw. Anpreisung entsprechende Zusammensetzung und Wir­kung - und nicht etwa die in concreto zu beurteilenden, allenfalls verun­rei­nigten oder gar gefälschten Produkte (vgl. Urteil des Bundesverwaltungs­gerichts [BVGer] C-6050/2008 vom 14. Februar 2011 E. 3.3.2).</w:t>
      </w:r>
    </w:p>
    <w:p>
      <w:r>
        <w:rPr>
          <w:b/>
        </w:rPr>
        <w:t>E. 5.1.6</w:t>
      </w:r>
    </w:p>
    <w:p>
      <w:r>
        <w:t>Vorliegend ergibt sich die Qualifikation der am Zoll zurückgehaltenen Produkte als Arzneimittel eindeutig aus deren Anpreisung, so dass es sich erübrigt, diese zu analysieren. Diese Arzneimittel, die unbestrittener­mas­sen in verwendungsfertiger Form vorliegen, unter­stehen damit unge­achtet ihrer tatsächlichen Zusammensetzung dem Heilmittelrecht und insbeson­dere den Vorschriften über die Einfuhr durch Privatpersonen (Art. 20 Abs. 2 HMG und Art. 36 Abs. 1 AMBV). Der Beschwerdeführer bestreitet denn auch zu Recht nicht, dass die zwei Sendungen mit je 60 Kapseln Li Da Daidaihua Schlankheitsmittel sind, die mithin zum Abnehmen bestimmt sind. Er macht auch nicht geltend, die Kapseln würden nicht - unter anderem - den Wirkstoff Sibutramin enthalten und es handle sich dabei nicht um ein zulassungspflichtiges verwendungsfertiges Arzneimittel im oben dargelegten Sinne. Ebenso wenig stellt er in Zweifel, dass die fraglichen Kapseln in der Schweiz nicht als Arzneimittel zugelassen waren. Der Umstand, dass die Abgabe von Mitteln mit dem Wirkstoff Sibutramin (erst) seit Ende März 2010 in der Schweiz verboten ist, ändert nichts daran, dass die fraglichen Kapseln in der Schweiz nie als Arzneimittel zugelassen waren und deren Einfuhr - unter Vorbehalt der Ausnahmevorschriften über die Einfuhr durch Privatpersonen - verboten war (allgemein zur Zulassung von Arzneimitteln vgl. Urteil des BVGer C-6050/2008 vom 14. Februar 2011 E. 3.3.)</w:t>
      </w:r>
    </w:p>
    <w:p>
      <w:r>
        <w:rPr>
          <w:b/>
        </w:rPr>
        <w:t>E. 5.2</w:t>
      </w:r>
    </w:p>
    <w:p>
      <w:r>
        <w:t>Der Beschwerdeführer stellt sich auf den Standpunkt, bei der vor­liegend einzuführenden Arzneimittelmenge handle es sich um eine kleine Menge im Sinne von Art. 20 Abs. 2 HMG und Art. 36 Abs. 1 AMBV.</w:t>
      </w:r>
    </w:p>
    <w:p>
      <w:r>
        <w:rPr>
          <w:b/>
        </w:rPr>
        <w:t>E. 5.2.1</w:t>
      </w:r>
    </w:p>
    <w:p>
      <w:r>
        <w:t>Weder Art. 20 Abs. 2 HMG noch Art. 36 Abs. 1 AMBV legt fest, was unter einer kleinen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w:t>
      </w:r>
    </w:p>
    <w:p>
      <w:r>
        <w:rPr>
          <w:b/>
        </w:rPr>
        <w:t>E. 5.2.2</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des Bundesrates vom 1. März 1999 zu einem Bun­desgesetz über Arznei­mittel und Medizinprodukte, BBl 1999 S. 3453 ff. [im Folgenden: Bot­schaft HMG], Separatdruck S. 55). Der Bundesrat hat zudem betont, der Eigengebrauch müsse im Heilmittelbe­reich "restrik­tiv ausgelegt werden, um Missbräuchen bei dieser Ausnah­me­regelung vor­zu­beugen" (Botschaft HMG,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zum heilmittelrechtlichen Vorsorgeprinzip etwa Urteil des Bundesgerichts 2C_407/2009 vom 18. Januar 2010 E. 3.1.1; VPB 69.97 E.3.3).</w:t>
      </w:r>
    </w:p>
    <w:p>
      <w:r>
        <w:rPr>
          <w:b/>
        </w:rPr>
        <w:t>E. 5.2.3</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06.155 vom 28. Februar 2006 E. 4, 05.117 vom 27. Ja­nuar 2006 E. 5.1.1, 04.091 vom 14. Juni 2005 E. 3.2.3). Diese Recht­sprechung wurde vom Bundesverwaltungs­gericht übernommen und weitergeführt (vgl. etwa Urteile des BVGer C-6050/2008 vom 14. Februar 2011 E. 3.4, C-3795/2008 vom 30. Januar 2009 E. 3.3 und C-1281/2007 vom 17. Sep­tember 2007 E. 2.2).</w:t>
      </w:r>
    </w:p>
    <w:p>
      <w:r>
        <w:rPr>
          <w:b/>
        </w:rPr>
        <w:t>E. 5.2.4</w:t>
      </w:r>
    </w:p>
    <w:p>
      <w:r>
        <w:t>Die Beschränkung der Einfuhr zulassungspflichtiger, aber nicht zu­ge­las­sener Arzneimittel zum Eigengebrauch auf die dem übli­chen Me­di­kamen­tenbedarf für etwa einen Monat entsprechende Menge hält sich an den dargestellten ge­setzlichen Rahmen. Sie ist angesichts der poten­tiel­len Gefahren, welche von nicht zugelassenen und möglicherweise unzu­reichend kontrollierten Arzneimitteln ausgehen können, durchaus erfor­derlich und angemessen (vgl. etwa Urteil des BVGer C-3795/2008 vom 30. Januar 2009 E. 3.3). Zudem trägt sie dem Umstand Rechnung, dass die Ermöglichung der Einfuhr zulassungspflichtiger, aber nicht zugelas­sener Arzneimittel eine Ausnahme vom generellen Einfuhrverbot gemäss Art. 20 HMG darstellt und schon aus diesem Grunde restriktiv zu hand­haben ist.</w:t>
      </w:r>
    </w:p>
    <w:p>
      <w:r>
        <w:rPr>
          <w:b/>
        </w:rPr>
        <w:t>E. 5.2.5</w:t>
      </w:r>
    </w:p>
    <w:p>
      <w:r>
        <w:t>Der Beschwerdeführer über­sieht mit seinem Standpunkt, dass die Möglichkeit der Einfuhr durch Einzel­personen eine Ausnahme vom generellen Einfuhrverbot darstellt, das ohne Zweifel über eine klare und ausreichende gesetzliche Grundlage verfügt (Art. 20 Abs. 1 HMG e contra-rio). Diese formell-gesetzliche Re­gelung ist für das Bundesverwaltungsgericht massgebend und kann nicht auf ihre Ver­fas­sungsmässigkeit hin geprüft werden (Art. 190 BV). Die Lockerung dieses Verbotes für Einzelpersonen durch die Ermög­lichung der Einfuhr einer kleinen Menge und ihre Festlegung auf den Eigenbedarf von etwa einem Monat liegt im öffentlichen Interesse und ist durch­aus verhältnismässig. Soweit in diesem Zusammenhang überhaupt von einer Einschränkung der persönlichen Freiheit, der Wirtschafts­freiheit, der Eigentumsgarantie und weiterer Grundrechte gesprochen werden kann, wäre diese zulässig, beruht sie doch auf einer ausreichenden formell-gesetz­lichen Grundlage, liegt sie im öffent­lichen Interesse, ist verhältnismässig und tangiert die Grundrechte nicht in ihrem Kerngehalt (vgl. Art. 36 BV; grundsätzlich dazu Urteil des BVGer C-6050/2008 vom 14. Februar 2011 E. 3.4).</w:t>
      </w:r>
    </w:p>
    <w:p>
      <w:r>
        <w:rPr>
          <w:b/>
        </w:rPr>
        <w:t>E. 5.2.6</w:t>
      </w:r>
    </w:p>
    <w:p>
      <w:r>
        <w:t>Die vorliegend am Zoll zurückgehaltenen, vom Be­schwerdeführer bestellten und an diesen adressierten Arzneimittel­sendungen enthalten je eine Packung mit 60 Kapseln Li Da Daidaihua. Eine Dosierungsanleitung liegt zwar nicht vor, doch darf ohne weiteres davon ausgegangen werden, dass Arzneimittel mit dem Wirkstoff Sibutramin höchstens ein Mal täglich eingenommen werden dürfen (vgl. die Empfehlungen unter http:// schlank-mit-Lida.com oder unter http://naturmed24.com). Die vorliegend zu beurteilenden Arzneimittelmengen reichen, je für sich genommen, somit für eine Behandlung von deutlich mehr als einem Monat. Es handelt sich damit offensichtlich nicht um kleine Mengen im Sinne von Art. 20 Abs. 1 HMG und Art. 36 Abs. 1 AMBV, so dass die versuchte Einfuhr des zulassungspflichtigen, aber nicht zugelassenen Arzneimittels durch den Beschwerdeführer rechtswidrig ist.</w:t>
      </w:r>
    </w:p>
    <w:p>
      <w:r>
        <w:rPr>
          <w:b/>
        </w:rPr>
        <w:t>E. 5.2.7</w:t>
      </w:r>
    </w:p>
    <w:p>
      <w:r>
        <w:t>Die Vorinstanz hat schliesslich zu Recht die Vernichtung der beschlagnahmten Arzneimittel angeordnet. 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das Institut insbesondere dessen Beschlagnahmung, Ver­wahrung oder Vernichtung anordnen und allenfalls die Einfuhr ver­bieten (vgl. Art. 66 Abs. 2 Bst. d und e HMG). Diese Bestimmungen bilden ohne Zweifel eine ausreichende formell-gesetzliche Grundlage für die Anord­nung von Ver­waltungsmassnahmen bei rechts-widriger Arzneimittel­einfuhr (vgl. Urteil des BVGer C-6050/2008 vom 14. Februar 2011 E. 4). Insbesondere auch die Anordnung der Ver­nichtung von derart importierten Arz­neimitteln basiert auf einer ge­nügenden Rechts­grundlage. Sie ist im vorliegenden Fall offensichtlich verhältnismässig, waren doch die in der Schweiz zugelassenen Arzneimittel mit dem Wirkstoff Sibutramin rezeptpflichtig, was für sich bereits auf dessen besondere Gesundheitsrisiko hinweist.</w:t>
      </w:r>
    </w:p>
    <w:p>
      <w:r>
        <w:rPr>
          <w:b/>
        </w:rPr>
        <w:t>E. 6</w:t>
      </w:r>
    </w:p>
    <w:p>
      <w:r>
        <w:t>Zu prüfen bleibt, ob die Vorinstanz dem Beschwerdeführer zu Recht Verwaltungsgebühren von je Fr. 300.- auferlegt hat.</w:t>
      </w:r>
    </w:p>
    <w:p>
      <w:r>
        <w:rPr>
          <w:b/>
        </w:rPr>
        <w:t>E. 6.1</w:t>
      </w:r>
    </w:p>
    <w:p>
      <w:r>
        <w:t>Das Institut kann für seine Verwaltungstätigkeiten - insbesondere für den Aufwand im Zusammenhang mit dem Erlass von Verfügungen - Ge­bühren erheben (Art. 65 Abs. 1 HMG und Art. 1 Bst. der Verordnung des Instituts vom 22. Juni 2006 über die Gebühren des Schweizerischen Heil­mittelinstitutes [SR 812.214.5, Heilmittel-Gebührenverordnung, HGebV]). Ge­mäss Art. 2 Abs. 1 Bst. a 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6.2</w:t>
      </w:r>
    </w:p>
    <w:p>
      <w:r>
        <w:t>Gebühren gemäss Art. 2 Abs. 1 Bst. a HGebV sind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das Urteil des BVGer C-1281/ 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die Entscheide der REKO HM 05.117 vom 27. Januar 2006, E. 5.2, und HM 04.083 vom 6. Dezember 2004, E. 5.1).</w:t>
      </w:r>
    </w:p>
    <w:p>
      <w:r>
        <w:rPr>
          <w:b/>
        </w:rPr>
        <w:t>E. 6.3</w:t>
      </w:r>
    </w:p>
    <w:p>
      <w:r>
        <w:t>Vorliegend ist erstellt, dass der Beschwerdeführer die am Zoll zurückgehaltenen Arzneimittel bestellt und so die versuchte Einfuhr der Ware ver­ursacht hat. Ebenso steht fest, dass die Sendung an den Be­schwerdeführer adressiert war und an diesen hätte ausgeliefert werden sollen. Unter diesen Umständen ist der Beschwerdeführer ohne Zweifel als direkter Verursacher der verfügten, ihn selbst betreffenden Verwal­tungs­massnahme abgabe­pflichtig, und die Vorinstanz hat ihm zu Recht gestützt auf Art. 2 Abs. 1 lit. c HGebV eine Verwaltungsgebühr auferlegt</w:t>
      </w:r>
    </w:p>
    <w:p>
      <w:r>
        <w:rPr>
          <w:b/>
        </w:rPr>
        <w:t>E. 6.4</w:t>
      </w:r>
    </w:p>
    <w:p>
      <w:r>
        <w:t>Die Höhe der von der Vorinstanz in Rechnung gestellten Gebühr richtet sich im Wesentlichen nach dem Verwaltungsaufwand, der mit Fr. 200.-- pro Stunde zu entgelten ist (Art. 3 in Verbindung mit Ziff. V Anhang HGebV). Es ist ohne weiteres nachvollziehbar, wenn die Vor­instanz geltend macht, dass im vorliegenden Verfahren ein Verwaltungs­aufwand von je 1 ½ Stunden angefallen sei. Die sich daraus ergebende Gebühr von je Fr. 300.- ist angemessen und entspricht den Vorgaben des Äquivalenz- und des Kostendeckungsprinzips.</w:t>
      </w:r>
    </w:p>
    <w:p>
      <w:r>
        <w:rPr>
          <w:b/>
        </w:rPr>
        <w:t>E. 6.5</w:t>
      </w:r>
    </w:p>
    <w:p>
      <w:r>
        <w:t>Damit steht fest, dass die Vorinstanz dem Beschwerdeführer zu Recht für die beiden Verfahren eine Verwaltungsgebühr von je Fr. 300.- auferlegt hat.</w:t>
      </w:r>
    </w:p>
    <w:p>
      <w:r>
        <w:rPr>
          <w:b/>
        </w:rPr>
        <w:t>E. 7</w:t>
      </w:r>
    </w:p>
    <w:p>
      <w:r>
        <w:t>Zusammenfassend ist festzuhalten, dass die zwei versuchten Einfuhren von je 60 Kapseln Li Da Daidaihua rechtswidrig waren, weshalb das Institut zu Recht die Vernichtung der Ware angeordnet und dem Beschwer­deführer Verwaltungsgebühren von je Fr. 300.- auferlegt hat. Die Beschwerden erweisen sich daher als unbegründet und sind abzu­weisen.Bei diesem Ausgang des Verfahrens trägt der unterliegende Beschwerdeführer die Kosten des Verfahrens vor dem Bundesverwaltungsgericht von insgesamt Fr. 700.- (Art. 1, Art. 2 Abs. 1 und Art. 4 des Reglements vom 21. Feb­ruar 2008 über die Kosten und Entschädi­gungen vor dem Bundes­verwaltungs­gericht [VGKE, SR 173.320.2]), welche mit den bereits geleisteten Kosten­vorschüssen in gleicher Höhe ver­rechnet werden.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