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C-5891/2012 vom 26. Juni 2013</w:t>
      </w:r>
    </w:p>
    <w:p>
      <w:r>
        <w:t>Bundesverwaltungsgericht, 2013-06-26, FR</w:t>
      </w:r>
    </w:p>
    <w:p>
      <w:r>
        <w:rPr>
          <w:b/>
        </w:rPr>
        <w:t xml:space="preserve">Quelle: </w:t>
      </w:r>
      <w:r>
        <w:t>https://mcp.opencaselaw.ch/entscheid/bvger_C-5891_2012</w:t>
      </w:r>
    </w:p>
    <w:p>
      <w:r>
        <w:t>FR: TAF C-5891/2012 du 26 juin 2013</w:t>
      </w:r>
    </w:p>
    <w:p>
      <w:r>
        <w:t>IT: TAF C-5891/2012 del 26 giugno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son mémoire de recours du 13 novembre 2012, le recourant a fait valoir une violation de son droit d'être entendu.</w:t>
      </w:r>
    </w:p>
    <w:p>
      <w:r>
        <w:rPr>
          <w:b/>
        </w:rPr>
        <w:t>E. 3.1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cf. également Patrick Sutter, in : Auer / Müller / Schindler, Kommentar zum Bundesgesetz über das Verwaltungs-verfahren [VwVG], Zurich / Saint-Gall 2008, ad art. 29 PA, ch. 16, et André Moser / Michael Beusch / Lorenz Kneubühler, Prozessieren vor dem Bundesverwaltungsgericht, Lausanne / Zurich / Berne 2008, p. 153, ch. 3.110).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ad art. 29 PA ch. 18; cf. également Moser / Beusch / Kneubühler, op. cit., p. 154, ch. 3.112, et les références citées).</w:t>
      </w:r>
    </w:p>
    <w:p>
      <w:r>
        <w:rPr>
          <w:b/>
        </w:rPr>
        <w:t>E. 3.2</w:t>
      </w:r>
    </w:p>
    <w:p>
      <w:r>
        <w:t>Le recourant a essentiellement fait valoir que lors de l'audition de son ex-épouse par la police de la ville de Lausanne en date du 27 mai 2011, son mandataire aurait dû être autorisé à intervenir à tout moment pour demander au témoin, à savoir à B._______, de préciser ou de compléter sa déclaration. Il a en outre critiqué le fait que l'attention de la prénommée n'avait pas été attirée sur le fait qu'elle n'était pas tenue de répondre aux questions posées. Aux termes de l'art. 12 PA, l'autorité constate les faits d'office et procède à l'administration de preuves par documents (let. a), renseignements des parties (let. b), renseignements ou témoignages de tiers (let. c), visite des lieux (let. d) et expertises (let. e). L'art. 14 al. 1 PA précise que si les faits ne peuvent pas être suffisamment élucidés d'une autre façon, l'autorité peut prévoir l'audition de témoins. Cela étant, dans le cas particulier, B._______, entendue par la Police de la ville de Lausanne en date du 27 mai 2011, était disposée à fournir les renseignements qui lui étaient demandés et une audition de témoin au sens de l'art. 14 PA ne s'est pas avérée nécessaire. L'audition en qualité de témoin prévue à l'art. 14 PA est en effet subsidiaire par rapport à l'audition en qualité de tiers appelé à fournir des renseignements (cf. à ce sujet l'ATF 130 II 169 consid. 2.3, Christoph Auer, in: Auer / Müller / Schindler, op. cit., ad. Art. 12 PA ch. 35 - 44 et ad art. 14 PA ch. 1 - 5, PATRICK L. KRAUSKOPF / KATRIN EMMENEGGER, in: Waldmann / Weissenberger, Praxiskommentar VwVG, Zurich 2009, ad art. 12 PA ch. 115-116 et Philippe Weissenberger / Bernhard Waldmann, in: Waldmann / Weissenberger, op. cit., ad. art. 14 N 9). Il ressort par ailleurs du procès-verbal de l'audition du 27 mai 2011 que l'attention de B._______ a expressément été attirée sur le fait qu'elle était entendue en tant que tierce appelée à fournir des renseignements. En outre, les principes consacrés à l'art. 18 PA sont applicables par analogie à l'audition d'une personne en qualité de tiers appelé à fournir des renseignements (ATF 130 II 169 précité consid. 2.3.5), notamment en ce sens que le mandataire a uniquement le droit de poser des questions complémentaires à la personne auditionnée et ne dispose pas d'un droit d'intervenir durant l'audition (cf. l'art. 18 al. 1 et l'art. 19 PA en relation avec l'art 46 PCF). Dans la mesure où l'audition de A._______ ne constituait pas une audition en qualité de témoin au sens de l'art. 14 PA, les allégations du recourant selon laquelle son ex-épouse aurait dû être informée du fait qu'elle n'était pas tenue de répondre et que son mandataire aurait dû être autorisé à intervenir durant l'audition peuvent être écartées (cf. l'arrêt du Tribunal fédéral 5A.20/2003 précité consid. 2.3.2 in fine). Le recourant, respectivement son mandataire, avaient la possibilité d'assister à l'audition, d'intervenir à la fin de celle-ci et de se prononcer ultérieurement sur le procès-verbal. Le Tribunal ne saurait donc retenir que dans le contexte de l'audition de son ex-épouse, le droit d'être entendu du recourant ait été violé.</w:t>
      </w:r>
    </w:p>
    <w:p>
      <w:r>
        <w:rPr>
          <w:b/>
        </w:rPr>
        <w:t>E. 3.3</w:t>
      </w:r>
    </w:p>
    <w:p>
      <w:r>
        <w:t>Le recourant a également fait grief à l'autorité intimée de lui avoir refusé la consultation des directives réglant la conduite des auditions des ex-conjoints dans le cadre des procédures d'annulation de la naturalisation facilitée. Le droit d'être entendu a pour corollaire le droit pour l'intéressé de prendre connaissance du dossier. Le droit de consulter le dossier s'étend à tous les actes essentiels de la procédure, à savoir ceux qui ont servi de base à la décision litigieuse. Il ne s'étend en revanche pas à la consultation de documents administratifs internes qui ne revêtent pas le caractère de preuves dans la procédure, mais qui sont d'usage interne et destinés à faciliter la tâche de l'administration (cf. à ce sujet notamment l'ATF 125 II 475 consid. 4 a) et les références citées). In casu, les documents dont le recourant a requis la consultation représentent des directives internes adressées aux autorités chargées de l'exécution des auditions effectuées dans le contexte des procédures d'annulation de la naturalisation facilitée. Il s'agit dès lors de documents de travail internes à l'administration qui n'ont pas servi de base à la décision querellée. Il s'ensuit que l'ODM était fondée à refuser la consultation des directives précitées à A._______. Par conséquent, le grief tiré d'une violation du droit d'être entendu doit également être écarté sous cette angle.</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le 27 octobre 2008 au recourant a été annulée par l'autorité inférieure en date du 16 octobre 2012, soit avant l'échéance du délai péremptoire prévu par la disposition précitée, avec l'assentiment des autorités cantonales compétentes.</w:t>
      </w:r>
    </w:p>
    <w:p>
      <w:r>
        <w:rPr>
          <w:b/>
        </w:rPr>
        <w:t>E. 7</w:t>
      </w:r>
    </w:p>
    <w:p>
      <w:r>
        <w:t>Il convient dès lors d'examiner si les circonstances du cas particulier répondent aux conditions matérielles de l'annulation de la naturalisation facilitée.</w:t>
      </w:r>
    </w:p>
    <w:p>
      <w:r>
        <w:rPr>
          <w:b/>
        </w:rPr>
        <w:t>E. 7.1</w:t>
      </w:r>
    </w:p>
    <w:p>
      <w:r>
        <w:t>En l'espèce, le Tribunal constate que A._______ et B._______ ont signé une déclaration selon laquelle ils vivaient en communauté conjugale effective et stable en date du 8 septembre 2008. Par décision du 27 octobre 2008, entrée en force le 28 novembre 2008, l'ODM a accordé la naturalisation facilitée à A._______. Les époux A._______ et B._______ ont signé une convention sur les intérêts civils le 5 mai 2009 et en date du 17 juin 2009, ils ont déposé une requête commune de divorce. Par jugement du 11 novembre 2009, devenu exécutoire le 24 novembre 2009, le Tribunal compétent a prononcé le divorce de A._______ et de B._______. En date du 1er août 2009, C._______, l'épouse actuelle du recourant, est entrée en Suisse et le 20 novembre 2009, elle a déposé une demande d'autorisation de séjour en vue de son mariage avec le recourant auprès de l'autorité cantonale compétente. Le mariage de A._______ et de C._______ a été célébré à Prilly (VD) en date du 5 février 2010.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8 septembre 2008), l'octroi de la naturalisation facilitée (le 27 octobre 2008), la rencontre avec sa future épouse (en janvier 2009), la signature d'une convention sur les intérêts civils (le 5 mai 2009), le dépôt d'une requête commune de divorce (le 17 juin 2009), le divorce (le 11 novembre 2009) et le remariage du recourant (le 5 février 2010) laisse présumer que le recourant n'envisageait déjà plus une vie future partagée avec son épouse lors de la signature de ladite déclaration de vie commune, respectivement au moment du prononcé de la décision de naturalisation et que la naturalisation a dès lors été acquise au moyen de déclarations mensongères, respectivement en dissimulant des fait essentiels. Il est conforme à la jurisprudence en la matière d'admettre une présomption de fait selon laquelle la communauté conjugale n'était pas stable lors de l'octroi de la naturalisation si l'ouverture d'une procédure de divorce intervient, comme en l'espèce, quelques mois plus tard (soit, en l'occurrence, moins de huit mois après la décision de naturalisation [voir en ce sens notamment l'arrêt du Tribunal fédéral 1C_172/2012 du 11 mai 2012 consid. 2.3 et jurisprudence citée]).</w:t>
      </w:r>
    </w:p>
    <w:p>
      <w:r>
        <w:rPr>
          <w:b/>
        </w:rPr>
        <w:t>E. 8</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5.3 ci-avant et la jurisprudence citée).</w:t>
      </w:r>
    </w:p>
    <w:p>
      <w:r>
        <w:rPr>
          <w:b/>
        </w:rPr>
        <w:t>E. 8.1</w:t>
      </w:r>
    </w:p>
    <w:p>
      <w:r>
        <w:t>A ce propos, le recourant s'est essentiellement prévalu du fait que durant ses vacances à Cuba en janvier 2009, il a fait la connaissance de son épouse actuelle, en faisant valoir que cette rencontre constituait un événement extraordinaire survenu après l'octroi de la naturalisation facilitée susceptible d'expliquer la dégradation rapide de son union conjugale avec B._______. S'agissant de la rencontre du recourant avec son épouse actuelle et du lien de causalité entre cet événement et la fin de son union conjugale avec B._______, le Tribunal relève ce qui suit. Informé sur l'ouverture d'une procédure en annulation de sa naturalisation facilitée, A._______ a exposé, dans un courrier du 30 mars 2010, qu'en début 2009, des difficultés conjugales étaient apparues au sein de son couple et que les époux avaient dès lors décidé de faire "un break". Durant cette période le recourant est parti seul en vacances à Cuba, où il a rencontré son épouse actuelle. C._______ de son côté a indiqué, dans un courrier du 4 janvier 2010, qu'elle avait fait la connaissance de A._______ sur un site de rencontre, ce que le recourant ne conteste par ailleurs pas. Suite à plusieurs échanges de courriels, ils avaient décidé de se rencontrer à Cuba en janvier 2009, où, selon les déclarations de la prénommée, leurs "expectatives virtuelles se sont concrétisées dans le réel". Le recourant a allégué que ce n'était qu'à partir de janvier 2009 que la communauté conjugale des époux A._______ et B._______ n'était plus stable et que sa rencontre avec C._______ était à l'origine de la dégradation rapide de son union conjugale. Le Tribunal ne saurait suivre cette thèse du recourant. Il ressort en effet des éléments qui précèdent que les problèmes conjugaux ont précédé la rencontre du recourant avec C._______ à Cuba, puisque cet événement est survenu postérieurement à la décision des époux de faire "un break" en raison de leurs difficultés conjugales. La rencontre du recourant avec son épouse actuelle ne saurait donc être tenue pour la cause de ses différends conjugaux avec B._______. Si la rencontre extraconjugale a effectivement pu accélérer la dégradation de l'union conjugale des époux A._______ et B._______, une communauté conjugale dans laquelle l'un des conjoints consulte un site web de rencontre et entretient des contacts réguliers par courriel avec une autre femme ne saurait être qualifiée d'effective, stable et orienté vers l'avenir. Par conséquent, le Tribunal de céans estime que la rencontre de A._______ avec son épouse actuelle doit être considérée comme une conséquence de la dégradation de son union conjugale avec B._______ et non pas comme la cause de leurs différends conjugaux. Il n'est certes pas possible au Tribunal de déterminer à quelle date les difficultés conjugales sont apparues au sein du couple A._______ et B._______. Cela étant, l'expérience de la vie enseigne qu'un ménage uni depuis plusieurs années ne se brise pas en quelques semaines sans qu'un événement extraordinaire en soit la cause et sans que les conjoints en aient eu le pressentiment (cf. arrêts du Tribunal fédéral 1C_548/2009 du 24 février 2010 consid. 4.2 et 5A.11/2006 du 27 juin 2006 consid. 4). En outre, il appert que A._______et C._______avaient déjà noué des contacts suffisamment prometteurs en janvier 2009 pour inciter le recourant à voyager à Cuba afin de rencontrer la prénommée. L'on ne saurait donc suivre la thèse du recourant selon laquelle, au moment de la déclaration du 8 septembre 2008 et de l'octroi de la naturalisation facilitée en date du 27 octobre 2009, la communauté conjugale des époux A._______ et B._______ était stable et orientée vers l'avenir, si l'on tient compte du fait que moins de trois mois après, la dégradation de l'union conjugale était à ce point avancée que les époux aient décidé de faire "un break", que A._______ ait entretenu des contacts réguliers avec une autre femme et qu'il ait décidé de voyager à Cuba dans le but de la rencontrer. Au vu des éléments qui précèdent, le Tribunal de céans ne saurait admettre que la rencontre de A._______ avec son épouse actuelle constitue un événement susceptible d'expliquer la dégradation rapide du lien conjugal des époux A._______ et B._______.</w:t>
      </w:r>
    </w:p>
    <w:p>
      <w:r>
        <w:rPr>
          <w:b/>
        </w:rPr>
        <w:t>E. 8.2</w:t>
      </w:r>
    </w:p>
    <w:p>
      <w:r>
        <w:t>Ainsi, à défaut d'éléments convaincants apportés par le recourant, le Tribunal est d'avis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décision de naturalisation facilitée. Partant, l'ODM était fondé à considérer que la naturalisation facilitée conférée au prénommé le 27 octobre 2008 avait été obtenue sur la base de déclarations mensongères, voire d'une dissimulation de faits essentiels, et donc à prononcer, avec l'assentiment du canton d'origine, l'annulation de cette naturalisation en application de l'art. 41 LN.</w:t>
      </w:r>
    </w:p>
    <w:p>
      <w:r>
        <w:rPr>
          <w:b/>
        </w:rPr>
        <w:t>E. 8.3</w:t>
      </w:r>
    </w:p>
    <w:p>
      <w:r>
        <w:t>Il sied de mentionner ici que les arguments avancés par le recourant tirés de la durée de son séjour ainsi que de sa bonne intégration socio-professionnelle en Suisse sont sans pertinence pour l'issue du présent litige, dès lors que celui-ci est limité au seul examen des conditions dans lesquelles l'intéressé a obtenu la naturalisation facilitée (cf. à ce sujet les arrêt du Tribunal fédéral 1C_363/2011 du 12 janvier 2012 consid. 4.3 et 5A.6/2003 du 24 juillet 2003 consid. 3.2). Il convient de rappeler à ce sujet qu'une décision d'annulation de la naturalisation facilitée ne saurait être considérée comme disproportionnée du seul fait que le ressortissant étranger aurait la possibilité de solliciter l'octroi de la naturalisation ordinaire. Le fait que l'intéressé puisse solliciter la naturalisation ordinaire selon les art. 12 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l'arrêt du Tribunal fédéral 1C_264/2011 du 23 août 2011 consid. 4).</w:t>
      </w:r>
    </w:p>
    <w:p>
      <w:r>
        <w:rPr>
          <w:b/>
        </w:rPr>
        <w:t>E. 9</w:t>
      </w:r>
    </w:p>
    <w:p>
      <w:r>
        <w:t>Il ressort de ce qui précède que, par sa décision du 16 octobre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