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C-5890/2013 vom 20. Februar 2014</w:t>
      </w:r>
    </w:p>
    <w:p>
      <w:r>
        <w:t>Bundesverwaltungsgericht, 2014-02-20, DE</w:t>
      </w:r>
    </w:p>
    <w:p>
      <w:r>
        <w:rPr>
          <w:b/>
        </w:rPr>
        <w:t xml:space="preserve">Quelle: </w:t>
      </w:r>
      <w:r>
        <w:t>https://mcp.opencaselaw.ch/entscheid/bvger_C-5890_2013</w:t>
      </w:r>
    </w:p>
    <w:p>
      <w:r>
        <w:t>FR: TAF C-5890/2013 du 20 février 2014</w:t>
      </w:r>
    </w:p>
    <w:p>
      <w:r>
        <w:t>IT: TAF C-5890/2013 del 20 febbraio 2014</w:t>
      </w:r>
    </w:p>
    <w:p>
      <w:pPr>
        <w:pStyle w:val="Heading2"/>
      </w:pPr>
      <w:r>
        <w:t>Regeste</w:t>
      </w:r>
    </w:p>
    <w:p>
      <w:r>
        <w:t>Zulassung als Leistungserbringer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der Vorinstanz um Sistierung des vorliegenden Beschwerdeverfahrens wird abgewiesen.</w:t>
      </w:r>
    </w:p>
    <w:p>
      <w:r>
        <w:rPr>
          <w:b/>
        </w:rPr>
        <w:t>E. 2</w:t>
      </w:r>
    </w:p>
    <w:p>
      <w:r>
        <w:t>Die Beschwerde wird insoweit gutgeheissen, als der angefochtene Beschluss aufgehoben wird, soweit er die Nichtzuteilung eines Leistungsauftrags im Bereich der grossen seltenen viszeralchirurgischen Eingriffe: komplexe bariatrische Chirurgie an die Beschwerdeführerin betrifft. Die Sache wird in diesem Umfang zur Durchführung einer bundesrechtskonformen Versorgungsplanung und Neubeurteilung an die Vorinstanz zurückgewiesen.</w:t>
      </w:r>
    </w:p>
    <w:p>
      <w:r>
        <w:rPr>
          <w:b/>
        </w:rPr>
        <w:t>E. 3</w:t>
      </w:r>
    </w:p>
    <w:p>
      <w:r>
        <w:t>Es werden keine Verfahrenskosten erhoben. Der geleistete Kostenvorschuss von Fr. 5'000.- wird der Beschwerdeführerin zurückerstattet.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an: - die Beschwerdeführerin (Gerichtsurkunde; Beilagen: Formular Zahl­stelle, Kopie der Vernehmlassung vom 24. Januar 2014) - die Vorinstanz (Ref-Nr. BBl 2013 6832; Gerichtsurkunde) - das Bundesamt für Gesundheit Der vorsitzende Richter: Die Gerichtsschreiberin: Daniel Stufetti Karin Wagner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