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C-5888/2008 vom 14. Mai 2009</w:t>
      </w:r>
    </w:p>
    <w:p>
      <w:r>
        <w:t>Bundesverwaltungsgericht, 2009-05-14, IT</w:t>
      </w:r>
    </w:p>
    <w:p>
      <w:r>
        <w:rPr>
          <w:b/>
        </w:rPr>
        <w:t xml:space="preserve">Quelle: </w:t>
      </w:r>
      <w:r>
        <w:t>https://mcp.opencaselaw.ch/entscheid/bvger_C-5888_2008</w:t>
      </w:r>
    </w:p>
    <w:p>
      <w:r>
        <w:t>FR: TAF C-5888/2008 du 14 mai 2009</w:t>
      </w:r>
    </w:p>
    <w:p>
      <w:r>
        <w:t>IT: TAF C-5888/2008 del 14 maggio 2009</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rifiuto dell'autorizzazione d'entrata in Svizzera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1.2</w:t>
      </w:r>
    </w:p>
    <w:p>
      <w:r>
        <w:t>Salvo i casi in cui la LTAF non disponga altrimenti, ai sensi dell'art. 37 LTAF la procedura dinanzi al Tribunale è retta dalla PA.</w:t>
      </w:r>
    </w:p>
    <w:p>
      <w:r>
        <w:rPr>
          <w:b/>
        </w:rPr>
        <w:t>E. 1.3</w:t>
      </w:r>
    </w:p>
    <w:p>
      <w:r>
        <w:t>Il ricorrente ha diritto di ricorrere (art. 48 cpv.1 PA) e il suo ricorso, presentato nella forma e nei termini prescritti dalla legge, è ricevibile (art. 50 e 52 PA).</w:t>
      </w:r>
    </w:p>
    <w:p>
      <w:r>
        <w:rPr>
          <w:b/>
        </w:rPr>
        <w:t>E. 2</w:t>
      </w:r>
    </w:p>
    <w:p>
      <w:r>
        <w:t>Ai sensi dell'art. 49 PA, il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La legislazione svizzera sugli stranieri non garantisce né il diritto d'entrata in Svizzera né il rilascio di un visto. La Svizzera, come tutti gli altri Stati, non è tenuta ad autorizzare di principio l'entrata di stranieri sul suo territorio. Tale decisione viene presa dalla Svizzera autonomamente in accordo con il diritto internazionale pubblico. (cfr. Messaggio del Consiglio federale relativo alla legge sugli stranieri dell'8 marzo 2002, in FF 2002 3327; nonché DTF 133 I 185 consid. 2.3).</w:t>
      </w:r>
    </w:p>
    <w:p>
      <w:r>
        <w:rPr>
          <w:b/>
        </w:rPr>
        <w:t>E. 4</w:t>
      </w:r>
    </w:p>
    <w:p>
      <w:r>
        <w:t>In occasione della votazione del 5 giugno 2005, il popolo svizzero ha accolto il decreto federale del 17 dicembre 2004 che approva e traspone nel diritto svizzero gli accordi bilaterali con l'Unione europea per l'associazione della Svizzera alla normativa di Schengen e Dublino (RS 362), entrati in vigore definitivamente il 12 dicembre 2008. Tra questi figura altresì l'Accordo del 26 ottobre 2004 tra la Confederazione Svizzera, l'Unione europea e la Comunità europea, riguardante l'associazione della Svizzera all'attuazione, all'applicazione e allo sviluppo dell'acquis di Schengen [AAS, RS 0.360.268.1]. In vista dell'attuazione degli accordi d'associazione a Schengen, il legislatore ha adattato la LStr (cfr. in particolare l'art. 2 cpv. 4 LStr, secondo il quale le disposizioni sulla procedura in materia di visti nonché sull'entrata in Svizzera e sulla partenza dalla Svizzera, si applicano solo nella misura in cui gli accordi d'associazione a Schengen non contemplino delle disposizioni divergenti). Inoltre, l'applicazione dell'acquis di Schengen ha reso necessaria una revisione completa dell'ordinanza del 24 ottobre 2007 concernente la procedura d'entrata e di rilascio del visto (OPEV, RU 2007 5537), la quale è stata sostituita dall'ordinanza del 22 ottobre 2008 sull'entrata e sul rilascio dei visti (OEV, RS 142.204). Ai sensi dell'art. 57 OEV il nuovo diritto si applica alle procedure pendenti alla data dell'entrata in vigore dell'OEV.</w:t>
      </w:r>
    </w:p>
    <w:p>
      <w:r>
        <w:rPr>
          <w:b/>
        </w:rPr>
        <w:t>E. 5.1</w:t>
      </w:r>
    </w:p>
    <w:p>
      <w:r>
        <w:t>Per quanto riguarda le condizioni d'entrata in Svizzera per un soggiorno non superiore a tre mesi, l'art 2 cpv. 1 OEV rinvia al Regolamento (CE) n. 562/2006 del Parlamento europeo e del Consiglio del 15 marzo 2006, che istituisce un codice comunitario relativo al regime di attraversamento delle frontiere da parte delle persone fisiche (codice frontiere Schengen [GU L 105 del 13.04.2006 pag. 1-32]). L'art. 5 par. 1 del codice frontiere Schengen definisce le condizioni d'ingresso per i cittadini di paesi terzi. Questi devono essere in possesso di uno o più documenti di viaggio validi che consentano di attraversare la frontiera e se richiesto, di un visto valido (let. a e b). Inoltre devono giustificare lo scopo e le condizioni del soggiorno previsto e disporre di mezzi di sussistenza sufficienti (let. c). Da ultimo non devono essere segnalati nel Sistema d'informazione Schengen (SIS) ai fini della non ammissione e non essere considerati una minaccia per l'ordine pubblico, la sicurezza interna, la salute pubblica o le relazioni internazionali di uno degli Stati membri (let. d ed e).</w:t>
      </w:r>
    </w:p>
    <w:p>
      <w:r>
        <w:rPr>
          <w:b/>
        </w:rPr>
        <w:t>E. 5.2</w:t>
      </w:r>
    </w:p>
    <w:p>
      <w:r>
        <w:t>Le condizioni d'entrata previste dal codice frontiere Schengen corrispondono essenzialmente a quelle di cui all'art. 5 cpv. 1 let. a - d LStr. L'obbligo di giustificare lo scopo e le condizioni del soggiorno previsto ai sensi dell'art. 5 par. 1 let. c del codice frontiere Schengen non sono esplicitamente elencate all'art. 5 cpv. 1 LStr. Tuttavia l'art. 5 cpv. 2 LStr. esige che lo straniero - se prevede un soggiorno temporaneo - sia in grado di garantire la partenza dalla Svizzera. Questa condizione del diritto nazionale, non rappresenta un'esigenza supplementare e non contraddice il codice frontiere Schengen. L'indicazione del soggiorno temporaneo costituisce di fatto una dichiarazione d'intenzione di lasciare il paese non appena il motivo di soggiorno sia cessato. Pertanto in caso d'indicazioni contraddittorie o inverosimili sul motivo di soggiorno, si deve concludere che il richiedente non è disposto a lasciare lo spazio Schengen allo scadere del previsto soggiorno. Allo stesso modo devono essere interpretate le istruzioni consolari comuni del 22 dicembre 2005 indirizzate alle rappresentazioni diplomatiche e consolari di prima categoria (ICC; GU C 326 del 22 dicembre 2005 pag.1-149). Le ICC esigono in particolare che venga valutato il rischio migratorio. È dunque opportuno in questo senso esaminare se il ricorrente cerca "di penetrare e di stabilirsi nel territorio degli stati membri per mezzo di un visto per turismo, affari, studi, lavoro o visita a dei parenti" (C 326 pag.10). L'allegato I del codice frontiere Schengen comprende inoltre una lista non esaustiva di giustificativi necessari per dimostrare lo scopo e le condizioni del soggiorno previsto di cui all'art. 5 par. 2 del suddetto codice. L'esigenza di mezzi di sussistenza sufficienti esposta all'art. 5 par. 1 let. c del codice frontiere Schengen, è definita all' art. 5 par. 3 dello stesso codice, il quale stabilisce che la valutazione della disponibilità dei mezzi di sussistenza può basarsi sul possesso di contanti, di assegni turistici e carte di credito. Qualora previste dalle legislazioni nazionali, le dichiarazioni di presa a carico e le lettere di garanzia costituiscono una prova di mezzi di sussistenza sufficienti. La legislazione svizzera sugli stranieri prevede esplicitamente tali garanzie agli art. 2 cpv. 2 e agli art. 7 a 11 OEV. Infine, con riferimento all'art. 5 del codice frontiere Schengen, le ICC definiscono quali giustificativi sono atti a dimostrare l'esistenza di mezzi finanziari sufficienti (C 326 pag. 11).</w:t>
      </w:r>
    </w:p>
    <w:p>
      <w:r>
        <w:rPr>
          <w:b/>
        </w:rPr>
        <w:t>E. 5.3</w:t>
      </w:r>
    </w:p>
    <w:p>
      <w:r>
        <w:t>In base alle considerazioni precedenti, è lecito concludere che l'esame dello scopo e delle condizioni di soggiorno ai sensi dell'art. 5 par. 1 del codice frontiere Schengen corrisponde all'esame della garanzia di partenza dalla Svizzera ai sensi dell'art. 5 cpv. 2 LStr. La giurisprudenza e la pratica relative a quest'ultima disposizione possono dunque essere riprese.</w:t>
      </w:r>
    </w:p>
    <w:p>
      <w:r>
        <w:rPr>
          <w:b/>
        </w:rPr>
        <w:t>E. 6</w:t>
      </w:r>
    </w:p>
    <w:p>
      <w:r>
        <w:t>L'art. 1 par. 1 e 2 del Regolamento n. 539/2001 del Consiglio del 15 marzo 2001 (GU L 81 del 21 marzo 2001, pag. 1-7) distingue tra i cittadini dei paesi terzi a dipendenza dell'obbligo del visto. L'allegato I del suddetto regolamento enumera i paesi, i cui cittadini sono soggetti al visto per attraversare le frontiere dello spazio Schengen, mentre l'allegato II enumera i paesi cui i cittadini sono esentati dal possesso del visto al varco delle frontiere. Visto che B._______ è un cittadino del Kosovo, è sottomesso all'obbligo del visto.</w:t>
      </w:r>
    </w:p>
    <w:p>
      <w:r>
        <w:rPr>
          <w:b/>
        </w:rPr>
        <w:t>E. 7.1</w:t>
      </w:r>
    </w:p>
    <w:p>
      <w:r>
        <w:t>Al fine di valutare se l'uscita dalla Svizzera alla scadenza del previsto soggiorno possa essere sufficientemente assicurata, l'autorità di prime cure deve giudicare un comportamento futuro. Ora, non è possibile constatare in modo certo un fatto non ancora accaduto, tuttavia si possono emettere delle supposizioni, considerando l'insieme delle circostanze del caso e i dati concreti che risultano dalla situazione generale del Paese d'origine del richiedente.</w:t>
      </w:r>
    </w:p>
    <w:p>
      <w:r>
        <w:rPr>
          <w:b/>
        </w:rPr>
        <w:t>E. 7.2</w:t>
      </w:r>
    </w:p>
    <w:p>
      <w:r>
        <w:t>Il richiedente vive nel Kosovo, costituitosi di recente quale Repubblica indipendente, riconosciuta dalla Svizzera. La sicurezza in questa regione si è in larga misura stabilizzata negli ultimi anni e la ricostruzione dell'amministrazione e dell'infrastruttura è stata promossa con la partecipazione di organizzazioni internazionali e di comunità tra stati. Ciononostante dal profilo economico il Kosovo manca a tutt'oggi di una dinamica di crescita e il tasso di disoccupazione è costantemente elevato. Più della metà dei lavoratori non sono remunerati o percepiscono un salario irregolare. A tutt'oggi la percentuale di povertà nel Kosovo si aggira attorno al 45 % e il 15 % della popolazione vive in condizioni di estrema povertà (cfr. &lt;http://www.worldbank.org&gt;, Countries &gt; Europe and Central Asia &gt; Kosovo &gt; Overview &gt; Country Brief 2009, visitato il 22 aprile 2009). La pressione migratoria da questa regione risulta pertanto essere elevata, ciò che dimostra anche la statistica d'asilo svizzera. Nel 2008 il 7.8 % dei richiedenti l'asilo proveniva dalla Serbia e dal Kosovo; questa regione si situa al quarto posto nella statistica delle domande d'asilo per nazione (cfr. statistica d'asilo 2008 dell'UFM, pag. 9).</w:t>
      </w:r>
    </w:p>
    <w:p>
      <w:r>
        <w:rPr>
          <w:b/>
        </w:rPr>
        <w:t>E. 7.3</w:t>
      </w:r>
    </w:p>
    <w:p>
      <w:r>
        <w:t>Tenuto conto delle considerazioni relative alla situazione socioeconomica nel Kosovo e del fatto che la predisposizione a lasciare il proprio Paese d'origine è favorita, allorquando parenti o conoscenti sono precedentemente emigrati, la valutazione dell'UFM inerente al rischio relativamente elevato di un'uscita irregolare dalla Svizzera, non può essere contestata. Ciononostante trarre delle conclusioni basandosi unicamente sulla situazione generale del Paese d'origine, porterebbe ad una valutazione dei fatti eccessivamente generalizzata. L'autorità inferiore deve per tanto esaminare l'insieme delle circostanze del caso concreto: in particolare gli obblighi familiari, sociali o professionali possono costituire una prognosi favorevole per una partenza regolare dalla Svizzera.</w:t>
      </w:r>
    </w:p>
    <w:p>
      <w:r>
        <w:rPr>
          <w:b/>
        </w:rPr>
        <w:t>E. 8</w:t>
      </w:r>
    </w:p>
    <w:p>
      <w:r>
        <w:t>Dagli atti risulta che B._______ ha 38 anni, è coniugato, padre di tre figli e svolge l'attività d'agricoltore. Dalla dichiarazione dell'UNMIK, egli vive con la sua famiglia. Il ricorrente ha affermato nell'atto ricorsuale che il richiedente non ha nessuna intenzione di emigrare in Svizzera. Egli ha fatto valere che in qualità d'agricoltore lavora la sua terra, possiede l'attrezzatura necessaria allo svolgimento della sua attività e gode di una buona situazione economica. Ciononostante, anche se i legami familiari e professionali possono in una certa misura spingere la personna interessata a ritornare in Patria, non possono essere considerati tali da impedire al richiedente l'organizzazione di un soggiorno più lungo di quanto stabilito, una volta entrato in Svizzera. Nel caso di specie dei mezzi di prova in merito agli obblighi professionali nonché alla situazione del richiedente, non sono stati addotti, di modo che le assicurazioni del ricorrente non rappresentano un impedimento concreto ad un'eventuale emigrazione. L'esperienza ha a più riprese dimostrato che gli obblighi tra familiari prossimi, quali coniugi o figli e i vincolo professionali, non assicurano l'uscita dalla Svizzera entro i termini stabiliti. Inoltre la situazione economica del Paese del richiedente riveste un significato fondamentale e preponderante rispetto ai legami familiari o professionali poiché la volontà d'emigrare è spesso connessa con la speranza di poter sostenere finanziariamente la famiglia rimasta nel Paese d'origine oppure per poter creare più tardi le condizioni adatte al fine d'accogliere i familiari non ancora emigrati.</w:t>
      </w:r>
    </w:p>
    <w:p>
      <w:r>
        <w:rPr>
          <w:b/>
        </w:rPr>
        <w:t>E. 9</w:t>
      </w:r>
    </w:p>
    <w:p>
      <w:r>
        <w:t>Ne discende che l'autorità di prime cure ha rilevato a giusto titolo sulla base della situazione agli atti, che l'uscita dalla Svizzera entro i termini stabiliti dopo un soggiorno per visita non era sufficientemente garantita. La dichiarazione fornita dal ricorrente in relazione alla presa a carico delle spese cagionate dal soggiorno auspicato e alle assicurazioni secondo le quali il richiedente avrebbe lasciato la Svizzera allo spirare del visto, non è tale da impedire ad un cittadino straniero, una volta sul territorio elvetico, di intraprendere i passi necessari per stabilirvisi durevolmente (cfr. sentenza del Tribunale federale 6S.281/2005 del 30 settembre 2005). L'esperienza ha infatti più volte dimostrato che le dichiarazioni d'intenzione formulate in merito all'uscita puntuale dalla Svizzera, costituiscono delle semplici dichiarazioni d'intenzione prive di effetti giuridici. L'ospitante è infatti in grado di garantire certi rischi finanziari relativi al soggiorno del richiedente, egli non può tuttavia portarsi garante per un suo determinato comportamento (cfr. sentenza del Tribunale amministrativo federale C-2405/2008 del 18 marzo 2009 consid. 10 con ulteriori riferimenti).</w:t>
      </w:r>
    </w:p>
    <w:p>
      <w:r>
        <w:rPr>
          <w:b/>
        </w:rPr>
        <w:t>E. 10</w:t>
      </w:r>
    </w:p>
    <w:p>
      <w:r>
        <w:t>Ne discende che l'UFM con decisione del 26 maggio 2008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11</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