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C-5886/2019 vom 12. Januar 2021</w:t>
      </w:r>
    </w:p>
    <w:p>
      <w:r>
        <w:t>Bundesverwaltungsgericht, 2021-01-12, DE</w:t>
      </w:r>
    </w:p>
    <w:p>
      <w:r>
        <w:rPr>
          <w:b/>
        </w:rPr>
        <w:t xml:space="preserve">Quelle: </w:t>
      </w:r>
      <w:r>
        <w:t>https://mcp.opencaselaw.ch/entscheid/bvger_C-5886_2019</w:t>
      </w:r>
    </w:p>
    <w:p>
      <w:r>
        <w:t>FR: TAF C-5886/2019 du 12 janvier 2021</w:t>
      </w:r>
    </w:p>
    <w:p>
      <w:r>
        <w:t>IT: TAF C-5886/2019 del 12 gennaio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10. Oktober 2019, mit welcher der Publikumspreis (PP) des von der Beschwerdeführerin vertriebenen Arzneimittels B._______ im Rahmen der Überprüfung der Aufnahmebedingungen alle drei Jahre per 1. Dezember 2019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vom 7. Oktober 2015 E. 3.3 m.w.H.).</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am 10. Oktober 2019, geltenden materiellen Bestimmungen (Urteil des BVGer C-5912/2013 vom 30. April 2015 [nicht in BVGE 2015/51 publizierte] E. 2.3). Dazu gehören neben dem KVG (SR 832.10; in der ab dem 1. Juli 2019 gültigen Fassung), insbesondere die KVV (in der ab dem 1. Januar 2019 gültigen Fassung) sowie die KLV (in der ab dem 1. Oktober 2019 gültigen Fassung).</w:t>
      </w:r>
    </w:p>
    <w:p>
      <w:r>
        <w:rPr>
          <w:b/>
        </w:rPr>
        <w:t>E. 4</w:t>
      </w:r>
    </w:p>
    <w:p>
      <w:r>
        <w:t>Die Beschwerdeführerin macht in ihrer Beschwerde in formeller Hinsicht geltend, die Vorinstanz habe ihre Verfügung nicht hinreichend begründet, indem sie sich mit der alternativen Dosierungsanweisung nicht auseinandergesetzt habe (vgl. Beschwerdeschrift Rz. 34). Damit habe sie gegen die Begründungspflicht verstossen sowie das rechtliche Gehör verletzt. Auf diese Rüge ist im Folgenden einzugehen.</w:t>
      </w:r>
    </w:p>
    <w:p>
      <w:r>
        <w:rPr>
          <w:b/>
        </w:rPr>
        <w:t>E. 4.1</w:t>
      </w:r>
    </w:p>
    <w:p>
      <w:r>
        <w:t>Art. 29 Abs. 2 BV gewährt den Parteien Anspruch auf rechtliches Gehör.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(Häfelin/Müller/Uhlmann, Allgemeines Verwaltungsrecht, 7. Aufl., 2016, Rz. 1002; Häfelin/HALLER/KELLER, Schweizerisches Bundesstaatsrecht, 9. Auflage, 2016, Rz. 836). Bei der Begründungspflicht handelt es sich ebenfalls um einen Teilgehalt des Anspruchs auf rechtliches Gehör gemäss Art. 29 Abs. 2 BV (MOSER/BEUSCH/KNEUBÜHLER, Prozessieren vor Bundesverwaltungsgericht, 2. Aufl., 2013, Rz. 3.103; vgl. HAEFELIN/HALLER/KELLER, Schweizerisches Bundesstaatsrecht, ebd., Rz. 838, letzter Absatz). Nach gefestigter bundesgerichtlicher Rechtsprechung muss ein Verwaltungsakt so abgefasst sein, dass die Betroffenen ihn gegebenenfalls sachgerecht anfechten können (BGE 125 II 369 E. 2c,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(BGE 129 I 232 E. 3.2; MOSER/BEUSCH/KNEUBÜHLER, Prozessieren vor Bundesverwaltungsgericht, ebd., Rz. 3.106). Erforderlich ist jedoch stets eine Auseinandersetzung mit dem konkret zu beurteilenden Sachverhalt, sodass Erwägungen allgemeiner Art ohne eine Bezugnahme auf den Sachverhalt im Einzelfall nicht genügen (vgl. BVGE 2012/24 E. 3.2.3, Urteil des BVGer A-3629/2007 vom 9. Januar 2008 E. 3.4).</w:t>
      </w:r>
    </w:p>
    <w:p>
      <w:r>
        <w:rPr>
          <w:b/>
        </w:rPr>
        <w:t>E. 4.2</w:t>
      </w:r>
    </w:p>
    <w:p>
      <w:r>
        <w:t>Die Vorinstanz hat sich in ihrer Vernehmlassung zu dieser Rüge der Beschwerdeführerin nicht geäussert.</w:t>
      </w:r>
    </w:p>
    <w:p>
      <w:r>
        <w:rPr>
          <w:b/>
        </w:rPr>
        <w:t>E. 4.3</w:t>
      </w:r>
    </w:p>
    <w:p>
      <w:r>
        <w:t>In der angefochtenen Verfügung hat die Vorinstanz sowohl die Forderung der Beschwerdeführerin, wonach der Dosierungsangabe nach Bedarf Rechnung zu tragen sei, als auch die von der Beschwerdeführerin vorgeschlagenen alternativen Berechnungsmodelle einleitend dargelegt. Anschliessend hat sie einlässlich zur alternativen Berechnungsweise der Beschwerdeführerin Stellung genommen und den eigenen, hiervon abweichenden Standpunkt erörtert (vgl. Verfügung BAG vom 10. Oktober 2019 Ziff. 2.2.4). Damit hat sich die Vorinstanz in der angefochtenen Verfügung - entgegen der Auffassung der Beschwerdeführerin - durchaus mit der von der Beschwerdeführerin vorgeschlagenen Berechnung des TQV auf der Basis der Dosierungsanweisungen nach Bedarf auseinandergesetzt. Dass sie sich dieser alternativen Berechnungsweise der Beschwerdeführerin nicht angeschlossen hat, ist demgegenüber keine Frage des rechtlichen Gehörs, sondern der materiellen Fallwürdigung, welche im Nachfolgenden (siehe E. 7 ff. hiernach) durch das Bundesverwaltungsgericht zu überprüfen sein wird. Die Verfügungsbegründung enthält darüber hinaus die wesentlichen Überlegungen, auf welche die Vorinstanz ihren Entscheid stützt. Die Beschwerdeführerin macht denn auch zu Recht nicht geltend, dass sie die angefochtene Verfügung aufgrund einer ungenügenden Begründung nicht hätte sachgerecht vor dem Bundesverwaltungsgericht anfechten können. Eine Verletzung der Begründungspflicht ist unter diesen Umständen nicht auszumachen.</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abrufbar unter http:www.spezialitaetenliste.ch &gt; aktueller Datenstamm [Excel-Liste], abgerufen am 17. November 2020).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30 Abs. 1 KLV, Art. 65 Abs. 1 und 3 KVV).</w:t>
      </w:r>
    </w:p>
    <w:p>
      <w:r>
        <w:rPr>
          <w:b/>
        </w:rPr>
        <w:t>E. 5.7</w:t>
      </w:r>
    </w:p>
    <w:p>
      <w:r>
        <w:t>Gemäss bundesgerichtlicher Rechtsprechung (BGE 143 V 369 E. 6) ist die gültige Zulassung des Schweizerischen Heilmittelinstituts Swissmedic eine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w:t>
      </w:r>
    </w:p>
    <w:p>
      <w:r>
        <w:rPr>
          <w:b/>
        </w:rPr>
        <w:t>E. 5.8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[APV]) und mit anderen Arzneimitteln (Bst. b; therapeutischen Quervergleichs [TQV]) beurteilt. Beim APV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TQV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(Bst. b),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6</w:t>
      </w:r>
    </w:p>
    <w:p>
      <w:r>
        <w:t>Vorliegend nicht streitig ist der Umstand, dass das Arzneimittel B._______ nach wie vor über eine gültige Zulassung des Heilmittelinstituts (Swissmedic) verfügt (siehe auch die Liste der zugelassenen Präparate auf (&lt; www.swissmedic.ch &gt; Listen und Verzeichnisse &gt; Humanarzneimittel &gt; zugelassene Arzneimittel, abgerufen am 17. November 2020) und die Zulassungsvoraussetzungen der Wirksamkeit und Zweckmässigkeit weiterhin erfüllt sind. Umstritten ist hingegen das Zulassungskriterium der Wirtschaftlichkeit. So ist vorliegend streitig und vom Bundesverwaltungsgericht zu prüfen, ob die von der Vorinstanz im Rahmen der dreijährlichen Überprüfung der Aufnahmebedingungen angeordnete Preisreduktion rechtmässig ist. Dabei ist lediglich vorliegend die Berechnung des TQV, nicht aber jene des APV, streitig.</w:t>
      </w:r>
    </w:p>
    <w:p>
      <w:r>
        <w:rPr>
          <w:b/>
        </w:rPr>
        <w:t>E. 7</w:t>
      </w:r>
    </w:p>
    <w:p>
      <w:r>
        <w:t>Die Vorinstanz hat in der angefochtenen Verfügung das Arzneimittel B._______ verglichen mit den gemäss der Spezialitätenliste ebenfalls der Behandlung des D._______ dienenden Arzneimitteln L._______, F._______, G._______, E._______, I._______, M._______, J._______, N._______, O._______ und K._______. Diese Auswahl der Vergleichsarzneimittel wird vorliegend von der Beschwerdeführerin nicht bestritten. Von der Beschwerdeführerin unbestritten sind sodann die von der Vorinstanz im TQV berücksichtigten Tagestherapiekosten der Produkte L._______, E._______, O._______, M._______ und N._______ (vgl. Beschwerdeziff. IV.2). Hingegen bestreitet die Beschwerdeführerin die von der Vorinstanz im TQV berücksichtigten Tagestherapiekosten bezüglich des streitbezogenen Arzneimittels B._______ sowie bezüglich der Vergleichsarzneimittel F._______, G._______, I._______, J._______ sowie K._______ und fordert unter dem Eventualstandpunkt sowie dem Subeventualstandpunkt jeweils alternative Berechnungen dieser Tagestherapiekosten, bei denen den in den Fachinformationen zugelassenen Anwendungen «nach Bedarf» mit entsprechenden Korrekturen der Portionen pro Tag nach oben Rechnung zu tragen sei.</w:t>
      </w:r>
    </w:p>
    <w:p>
      <w:r>
        <w:rPr>
          <w:b/>
        </w:rPr>
        <w:t>E. 7.1</w:t>
      </w:r>
    </w:p>
    <w:p>
      <w:r>
        <w:t>Während die Beschwerdeführerin im vorinstanzlichen Verfahren noch der Auffassung war, der TQV sei auf der Basis der Kosten pro Applikation respektive pro Monodose zu berechnen, anstelle der von der Vorinstanz berücksichtigten Tagestherapiekosten, bestreitet sie im vorliegenden Verfahren lediglich noch die konkrete Bemessung dieser Tages-therapiekosten in Bezug auf die vorangehend aufgeführten, vorliegend streitigen Arzneimittel. Art. 65b Abs. 4bis Bst. b KVV sieht in diesem Zusammenhang vor, dass im TQV die Kosten des Arzneimittels pro Tag oder Kur im Verhältnis zu den Kosten von Arzneimitteln, die zur Behandlung derselben Krankheit eingesetzt werden, zu überprüfen sind. Da bei der Therapie eines D._______ die Behandlung in der Regel nicht bereits nach der Anwendung einer einzelnen Applikation respektive Monodose abgeschlossen ist und die durchschnittlichen täglichen Anwendungen der verschiedenen Präparate vorliegend stark variieren (vgl. E. 7.3 hiernach), hat die Vorinstanz vorliegend zu Recht zwecks Vornahme eines plausiblen Kostenvergleichs auf die jeweiligen Tagestherapiekosten der einzelnen Vergleichspräparate abgestellt.</w:t>
      </w:r>
    </w:p>
    <w:p>
      <w:r>
        <w:rPr>
          <w:b/>
        </w:rPr>
        <w:t>E. 7.2</w:t>
      </w:r>
    </w:p>
    <w:p>
      <w:r>
        <w:t>Gemäss der Rechtsprechung des Bundesverwaltungsgerichts hat sich die Vorinstanz bei der Feststellung der im TQV zu vergleichenden Tagestherapiekosten an den aus den Fachinformationen hervorgehenden Dosierungsvorschriften der einbezogenen Arzneimittel zu orientieren (Urteil des BVGer C-595/2015 vom 19. Juni 2018 E. 7.6 und E. 8.2), wobei davon ausgegangen werden kann, dass die durch die Swissmedic genehmigten Fachinformationen regelmässig auf den neusten Stand gebracht werden (vgl. Urteil des BVGer C-5976/2018 vom 15. April 2020 E. 7.2.8). Sofern sich den Fachinformationen genaue Dosierungsangaben entnehmen lassen, an Hand derer sich die durchschnittlichen Tagestherapiekosten berechnen lassen, besteht kein Raum für eine «praxisnahe Annahme» der durchschnittlichen Tagestherapiekosten (Urteil des BVGer C-595/2015 vom 19. Juni 2018 E. 8.3). Ist mangels präziser Dosierungsangaben in den Fachinformationen eine unmittelbare Berechnung der Tagestherapiekosten nicht möglich, können die Tagestherapiekosten dieser Präparate lediglich approximativ festgestellt werden, wobei dies auf eine nachvollziehbare und sachgerechte Weise zu erfolgen hat (Urteile des BVGer C-595/2015 vom 19. Juni 2018 E. 8.4 und C-5976/2018 vom 15. April 2020 E. 7.4).</w:t>
      </w:r>
    </w:p>
    <w:p>
      <w:r>
        <w:rPr>
          <w:b/>
        </w:rPr>
        <w:t>E. 7.3</w:t>
      </w:r>
    </w:p>
    <w:p>
      <w:r>
        <w:t>Bezüglich der vorliegend streitigen Produkte F._______, G._______, H._______, I._______, J._______, K._______ liegen zweifellos in den jeweiligen Fachinformationen Dosierungsvorschriften vor. Gemäss der vorangehend zitierten Rechtsprechung hat sich somit die Ermittlung der Tagestherapiekosten an diesen Dosierungsvorschriften gemäss den Fachinformationen zu orientieren. Diese Dosierungsvorschriften sind nachfolgend in Bezug auf die einzelnen, vorliegend streitigen Arzneimittel tabellarisch aufzulisten: Arzneimittel Dosierung für Erwachsene gemäss Fachinformation F._______ Übliche Dosierung: (...) Tropfen (...)-mal pro Tag (...), oder immer dann, wenn die Symptome (...) auftreten. G._______ (...) Tropfen (...)-mal täglich (...), oder immer dann, wenn die Symptome (...) auftreten. H._______ Im Allgemeinen (...) x täglich, oder je nach Bedarf, (...) Tropfen (...). I._______ Je nach (...) der Beschwerden (...) mal täglich oder häufiger und (...) Tropfen (...). J._______ (...) Tropfen (...) x täglich oder nach Bedarf (...). K._______ Die Häufigkeit (...) nach dem Bedarf. Sie liegt durchschnittlich bei (...) mal täglich (...) Tropfen. K._______ kann bei Bedarf auch häufiger angewendet werden.</w:t>
      </w:r>
    </w:p>
    <w:p>
      <w:r>
        <w:rPr>
          <w:b/>
        </w:rPr>
        <w:t>E. 7.4</w:t>
      </w:r>
    </w:p>
    <w:p>
      <w:r>
        <w:t>Wie die Beschwerdeführerin zu Recht vermerkt, lassen die Anwendungshinweise gemäss den Fachinformationen hinsichtlich der vorliegend streitigen Produkte - neben der üblichen respektive durchschnittlichen Dosierung - eine alternative Dosierung nach Bedarf (in der Tabelle hiervor jeweils kursiv hervorgehoben) zu. Die Beschwerdeführerin verkennt jedoch, dass diese Dosierungsanweisungen nach Bedarf nicht nur eine höhere Dosierung, sondern grundsätzlich auch eine Abweichung nach unten zulassen. So ist es denkbar, dass Patientinnen und Patienten aufgrund der Dosierungsanweisung nach Bedarf eines dieser Arzneimittel weniger als üblich anwenden, da bei ihnen die Symptome des D._______ seltener als üblich auftreten. Zum dahingehenden Hinweis der Vorinstanz, wonach die Beschwerdeführerin zu Unrecht davon ausgeht, dass die Bezeichnungen «nach Bedarf», «oder häufiger» etc. primär dazu dienten, die Standarddosierung zu überschreiten (vgl. Vernehmlassung Rz. 14), hat sich die Beschwerdeführerin in ihrer Replik nicht geäussert. Nachdem bei den vorangehend aufgelisteten Produkten in der Praxis somit Abweichungen von den Dosierungsempfehlungen nach oben oder nach unten auftreten dürften, ist davon auszugehen, dass die als üblich respektive durchschnittlich angegebenen Dosierungen auch in Bezug auf die alternativen höheren oder geringeren Dosierungen nach Bedarf Mittelwerte der durchschnittlich benötigten Tagesdosis darstellen. Die üblichen respektive durchschnittlichen Dosierungen erfassen bei dieser Sichtweise somit auch die alternativen Dosierungsmöglichkeiten nach Bedarf.</w:t>
      </w:r>
    </w:p>
    <w:p>
      <w:r>
        <w:rPr>
          <w:b/>
        </w:rPr>
        <w:t>E. 7.5</w:t>
      </w:r>
    </w:p>
    <w:p>
      <w:r>
        <w:t>Damit erweisen sich die vorangehend tabellarisch aufgelisteten Dosierungsvorschriften der Fachinformationen - auch unter Berücksichtigung der darin zugelassenen alternativen Dosierungen nach Bedarf - als genügend klar, so dass sich an Hand dieser die durchschnittlichen Tagestherapiekosten berechnen lassen. Dies schliesst eine praxisnahe respektive approximative Festlegung der durchschnittlichen Tagestherapiekosten aus Diese Auffassung teilt auch die Beschwerdeführerin (vgl. Beschwerde Ziff. 2.5 und Replik Ziff. 4). Es ist damit nicht zu beanstanden, dass die Vorinstanz für die Berechnung der Tagestherapiekosten auf die den Fachinformationen zu entnehmenden durchschnittlichen respektive üblichen Dosierungen abgestellt hat.</w:t>
      </w:r>
    </w:p>
    <w:p>
      <w:r>
        <w:rPr>
          <w:b/>
        </w:rPr>
        <w:t>E. 7.6</w:t>
      </w:r>
    </w:p>
    <w:p>
      <w:r>
        <w:t>Die Beschwerdeführerin kritisiert in ihrer Beschwerde, die Vorinstanz habe ihr Ermessen verletzt, indem sie die (separaten) Dosierungsanweisungen «nach Bedarf», «oder häufiger» etc. für die Ermittlung der Tagestherapiekosten nicht berücksichtigt habe.</w:t>
      </w:r>
    </w:p>
    <w:p>
      <w:r>
        <w:rPr>
          <w:b/>
        </w:rPr>
        <w:t>E. 7.6.1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Dies gilt, solange nicht ernsthafte Gründe ein Abweichen von der Expertenmeinung rechtfertigen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7.6.2</w:t>
      </w:r>
    </w:p>
    <w:p>
      <w:r>
        <w:t>Wie vorangehend dargelegt, ist die Vorinstanz zu Recht davon ausgegangen, dass die alternativen Dosierungsanweisungen «nach Bedarf», «oder häufiger» etc. sowohl eine Überschreitung als auch eine Unterschreitung der Standarddosierung zulassen. Damit hat sie diese alternativen Dosierungsanweisungen bei ihrem Entscheid, für die Ermittlung der Tagestherapiekosten auf die durchschnittlichen respektive üblichen Dosierungen gemäss den Fachinformationen abzustellen, mitberücksichtigt. Ausserdem hat die Vorinstanz in ihrer Vernehmlassung darauf hingewiesen, dass die in den Fachinformationen mit «im Allgemeinen», «in der Regel», «üblicherweise» etc. bezeichneten Dosierungen der durchschnittlich angewendeten Dosierung entsprechen und davon auszugehen ist, dass die meisten Patientinnen und Patienten diese Dosierung entsprechend der Fachinformation berücksichtigten. Auch aufgrund dieser nachvollziehbaren Überlegungen der Vorinstanz erscheint es sachgerecht, dass diese für die Berechnung der Tagestherapiekosten auf die den Fachinformationen zu entnehmenden durchschnittlichen respektive üblichen Dosierungen abgestellt hat. Die Vorinstanz hat damit bei der Bemessung der Tagestherapiekosten im Rahmen ihres Ermessens gehandelt, weshalb vorliegend entgegen der Auffassung der Beschwerdeführerin keine Ermessensverletzung auszumachen ist.</w:t>
      </w:r>
    </w:p>
    <w:p>
      <w:r>
        <w:rPr>
          <w:b/>
        </w:rPr>
        <w:t>E. 7.7</w:t>
      </w:r>
    </w:p>
    <w:p>
      <w:r>
        <w:t>Unter diesen Umständen erübrigt sich eine detaillierte Auseinandersetzung mit den von der Beschwerdeführerin erstellten Modellvarianten A und B zur Berechnung der Tagestherapiekosten. Im Übrigen sind auch die diesbezüglichen Hinweise der Vorinstanz in der Vernehmlassung, wonach diesen Modellvarianten ihrerseits willkürlich gewählte Maximalwerte zu Grunde liegen, nicht von der Hand zu weisen. Da vorliegend davon auszugehen ist, dass die übliche respektive durchschnittliche Dosierung gleichzeitig auch Mittelwerte in Bezug auf die Dosierungsvorschriften nach Bedarf darstellen (vgl. E. 7.4 hiervor), erweist sich der Sachverhalt auch mit Blick auf die Dosierungsvorschriften nach Bedarf als genügend geklärt. Hinsichtlich den von der Beschwerdeführerin in ihrer Replik geforderten Studien zur Frage der Quantifizierbarkeit der Dosierungsvorschriften nach Bedarf, welche die Vorinstanz zu veranlassen habe, ist sodann auf den Grundsatz der materiellen Beweislastverteilung gemäss Art. 8 ZGB zu verweisen. Hiernach obläge es vielmehr der Beschwerdeführerin, entsprechende ihren Standpunkt untermauernde Studien zu beschaffen und dem Bundesverwaltungsgericht vorzulegen, zumal auch die Beschwerdeführerin die Folgen einer sich allfälligen Beweislosigkeit zu tragen hätte (vgl. z.B. Urteil des BVGer C-6511/2012 vom 13. Mai 2016 E. 6.2).</w:t>
      </w:r>
    </w:p>
    <w:p>
      <w:r>
        <w:rPr>
          <w:b/>
        </w:rPr>
        <w:t>E. 7.8</w:t>
      </w:r>
    </w:p>
    <w:p>
      <w:r>
        <w:t>Abschliessend ist die von der Vorinstanz in Bezug auf die vorliegend streitigen Vergleichsprodukte aufgrund der in den Fachinformationen angegebenen üblichen Dosierungen (vgl. E. 7.3 hiervor) im Einzelnen vorgenommene Bezifferung der Tagestherapiekosten zu überprüfen.</w:t>
      </w:r>
    </w:p>
    <w:p>
      <w:r>
        <w:rPr>
          <w:b/>
        </w:rPr>
        <w:t>E. 7.8.1</w:t>
      </w:r>
    </w:p>
    <w:p>
      <w:r>
        <w:t>Beim Arzneimittel F._______ ist die Vorinstanz von der in der Fachinformation angegebenen üblichen Dosierung von (..)-mal (...) Tropfen pro Tag ausgegangen. Ebenfalls hat sie berücksichtigt, dass die Monodosen nach der Verwendung verworfen werden müssen und eine Monodose (à [...] ml) zur Applikation an (...) ausreicht. Die Vorinstanz ist damit zu Recht davon ausgegangen, dass üblicherweise (...) Monodosen für eine Tagestherapie verwendet werden. Aufgrund des Fabrikabgabepreises von Fr. (...) für (...) Monodosen beträgt der Preis für (...) Monodosen Fr. (...). Die Vorinstanz hat damit die Tagestherapiekosten für das Arzneimittel F._______ zu Recht auf Fr. (...) festgelegt.</w:t>
      </w:r>
    </w:p>
    <w:p>
      <w:r>
        <w:rPr>
          <w:b/>
        </w:rPr>
        <w:t>E. 7.8.2</w:t>
      </w:r>
    </w:p>
    <w:p>
      <w:r>
        <w:t>Beim Arzneimittel G._______ ist die Vorinstanz von der in der Fachinformation angegebenen üblichen Dosierung von (...)- bis (...)-mal täglich (...) Tropfen ausgegangen. Ebenfalls hat sie berücksichtigt, dass die Monodosen nach der Verwendung verworfen werden müssen und eine Monodose (à [...] ml) zur Applikation an (...) ausreicht. Die Vorinstanz ist damit zu Recht davon ausgegangen, dass durchschnittlich ein Mittelwert von (...) Monodosen für eine Tagestherapie verwendet wird. Aufgrund des Fabrikabgabepreises von Fr. (...) für (...) Monodosen beträgt der Preis für (...) Monodosen Fr. (...). Die Vorinstanz hat damit die Tagestherapiekosten für das Arzneimittel G._______ zu Recht auf Fr. (...) festgelegt.</w:t>
      </w:r>
    </w:p>
    <w:p>
      <w:r>
        <w:rPr>
          <w:b/>
        </w:rPr>
        <w:t>E. 7.8.3</w:t>
      </w:r>
    </w:p>
    <w:p>
      <w:r>
        <w:t>Beim Arzneimittel H._______ ist die Vorinstanz von der in der Fachinformation angegebenen üblichen Dosierung von (...)-mal täglich (...) Tropfen ausgegangen. Ebenfalls hat sie berücksichtigt, dass die Monodosen nach der Verwendung verworfen werden müssen und eine Monodose (à [...] g) zur Applikation an (...) ausreicht. Die Vorinstanz ist damit zu Recht davon ausgegangen, dass üblicherweise (...) Monodosen für eine Tagestherapie verwendet werden. Aufgrund des Fabrikabgabepreises von Fr. (...) für (...) Monodosen beträgt der Preis für (...) Monodosen Fr. (...). Die Vorinstanz hat damit die Tagestherapiekosten für das Arzneimittel H._______ zu Recht auf Fr. (...) festgelegt.</w:t>
      </w:r>
    </w:p>
    <w:p>
      <w:r>
        <w:rPr>
          <w:b/>
        </w:rPr>
        <w:t>E. 7.8.4</w:t>
      </w:r>
    </w:p>
    <w:p>
      <w:r>
        <w:t>Beim Arzneimittel I._______ ist die Vorinstanz von der in der Fachinformation angegebenen üblichen Dosierung von (...)- bis (...)-mal täglich sowie (...) Tropfen ausgegangen. Ebenfalls hat sie berücksichtigt, dass die Monodosen nach der Verwendung verworfen werden müssen und eine Monodose (à [...] g) zur Applikation an (...) ausreicht. Die Vorinstanz ist damit zu Recht davon ausgegangen, dass durchschnittlich (...) Monodosen (Mittelwert von [...] bis [...] Monodosen) für eine Tagestherapie verwendet werden. Aufgrund des Fabrikabgabepreises von Fr. (...) für (...) Monodosen beträgt der Preis für (...) Monodosen Fr. (...). Die Vorinstanz hat damit die Tagestherapiekosten für das Arzneimittel I._______ zu Recht auf Fr. (...) festgelegt. Soweit die Beschwerdeführerin diesbezüglich in ihrer Beschwerde rügt, die Vorinstanz habe in ihrer Tabelle zwar die alternative Dosierungsanweisung «oder häufiger» aufgeführt, diese jedoch nicht in ihre Berechnung einfliessen lassen, ist zu verweisen auf die vorangehenden Schlussfolgerungen des Bundesverwaltungsgerichts, wonach es nicht zu beanstanden ist, dass die Vorinstanz davon ausging, dass die in den Fachinformationen angegebene übliche Dosierung die Dosierungsanweisungen nach Bedarf bereits abdeckt (vgl. E. 7.4 hiervor).</w:t>
      </w:r>
    </w:p>
    <w:p>
      <w:r>
        <w:rPr>
          <w:b/>
        </w:rPr>
        <w:t>E. 7.8.5</w:t>
      </w:r>
    </w:p>
    <w:p>
      <w:r>
        <w:t>Beim Arzneimittel J._______ ist die Vorinstanz von der in der Fachinformation angegebenen üblichen Dosierung von (...) bis (...) Tropfen (...)-mal täglich oder «nach Bedarf» ausgegangen. Hierbei hat sie berücksichtigt, dass die Monodosen nach der Verwendung verworfen werden müssen und eine Monodose (à [...] ml) für das Einträufeln von (...) bis (...) Tropfen in (...) (und somit für eine Applikation von [...] bis [...] Tropfen bezüglich [...]) ausreicht. Die Vorinstanz ist damit zu Recht davon ausgegangen, dass üblicherweise (...) Monodosen für eine Tagestherapie verwendet werden. Aufgrund des Fabrikabgabepreises von Fr. (...) für (...) Monodosen beträgt der Preis für (...) Monodosen Fr. (...). Die Vorinstanz hat damit die Tagestherapiekosten für das Arzneimittel J._______ zu Recht auf Fr. (...) festgelegt. Soweit die Beschwerdeführerin diesbezüglich in ihrer Beschwerde rügt, die Vorinstanz habe in ihrer Tabelle zwar die alternative Dosierungsanweisung «nach Bedarf» aufgeführt, diese jedoch nicht in ihre Berechnung einfliessen lassen, ist zu erneut verweisen auf die vorangehenden Schlussfolgerungen des Bundesverwaltungsgerichts, wonach es nicht zu beanstanden ist, dass die Vorinstanz davon ausging, dass die in den Fachinformationen angegebene übliche Dosierung die alternativen Dosierungsanweisungen nach Bedarf bereits abdeckt (vgl. E. 7.4 hiervor). Dies gilt ebenfalls für die von der Beschwerdeführerin in ihrer Replik erhobene Rüge, wonach sich die doppelte Dosierung der L._______ gegenüber dem Arzneimittel J._______ aufgrund der Angaben in den Fachinformationen nicht erklären lasse. Die Beschwerdeführerin führt in ihrer Replik insbesondere an, nur weil die Fachinformation beim einen Präparat mehr Angaben zur Viskosität enthalte als beim anderen und nur weil sich die Hilfsstoffe der Präparate unterschieden, könnten die unterschiedlichen Dosierungen und Viskositäten - entgegen der Auffassung der Vorinstanz - nicht wissenschaftlich und quantifizierbar verglichen werden. Dies spielt indessen vorliegend keine Rolle, nachdem die Beschwerdeführerin die von der Vorinstanz im TQV berücksichtigten Tagestherapiekosten der L._______ ausdrücklich akzeptiert hat (vgl. E. 7 hiervor) und die vorangehend aufgelistete übliche Dosierung des Arzneimittels J._______ den diesbezüglichen Angaben in der Fachinformation (vgl. E. 7.3 hiervor) entspricht.</w:t>
      </w:r>
    </w:p>
    <w:p>
      <w:r>
        <w:rPr>
          <w:b/>
        </w:rPr>
        <w:t>E. 7.8.6</w:t>
      </w:r>
    </w:p>
    <w:p>
      <w:r>
        <w:t>Beim Arzneimittel K._______ ist die Vorinstanz von der in der Fachinformation angegebenen üblichen Dosierung von durchschnittlich (...)- bis (...)-mal täglich (...) Tropfen ausgegangen. Ebenfalls hat sie berücksichtigt, dass die Monodosen nach der Verwendung verworfen werden müssen und eine Monodose (à [...] g) zur Applikation an (...) ausreicht. Die Vorinstanz ist damit zu Recht davon ausgegangen, dass durchschnittlich (...) Monodosen (Mittelwert von [...] bis [...] Monodosen) für eine Tagestherapie verwendet werden. Aufgrund des Fabrikabgabepreises von Fr. (...) für (...) Monodosen beträgt der Preis für (...) Monodosen Fr. (...). Die Vorinstanz hat damit die Tagestherapiekosten für das Arzneimittel K._______ zu Recht auf Fr. (...) festgelegt. Die Beschwerdeführerin rügt beschwerdeweise, die alternative Dosierungsanweisung beim Arzneimittel K._______ lasse eine Erweiterung der durchschnittlichen Anwendung nur nach oben zu. Diesbezüglich ist auf die vorangehend dargelegte Auffassung des Bundesverwaltungsgerichts zu verweisen, wonach im Rahmen der Dosierung nach Bedarf grundsätzlich auch eine Abweichung nach unten denkbar ist (vgl. E. 7.4 hiervor). An dieser Auffassung des Bundesverwaltungsgerichts vermag auch die in der Fachinformation verwendete konkrete Formulierung («K._______ kann bei Bedarf auch häufiger angewendet werden») nichts zu ändern.</w:t>
      </w:r>
    </w:p>
    <w:p>
      <w:r>
        <w:rPr>
          <w:b/>
        </w:rPr>
        <w:t>E. 7.8.7</w:t>
      </w:r>
    </w:p>
    <w:p>
      <w:r>
        <w:t>Insgesamt ist damit festzustellen, dass die Vorinstanz die Tagestherapiekosten der vorliegend streitigen Vergleichsprodukte korrekt berechnet hat.</w:t>
      </w:r>
    </w:p>
    <w:p>
      <w:r>
        <w:rPr>
          <w:b/>
        </w:rPr>
        <w:t>E. 7.9</w:t>
      </w:r>
    </w:p>
    <w:p>
      <w:r>
        <w:t>Schliesslich macht die Beschwerdeführerin geltend, der angefochtene Entscheid sei unangemessen, da das Arzneimittel B._______ zwar auf der Spezialitätenliste figuriere, jedoch der Kategorie D zugeordnet sei und damit ohne ärztliche Verschreibung abgegeben werden dürfe. Aufgrund des sehr tiefen Preises werde das Arzneimittel mehrheitlich privat finanziert. Daher sei es nicht nötig, die Publikumspreise zu reduzieren, um die Krankenkassen zu entlasten. Diesbezüglich ist ohne Weiteres zu verweisen auf die Ausführungen der Vorinstanz in ihrer Vernehmlassung, wonach die Beschwerdeführerin nicht verpflichtet ist, das Arzneimittel B._______ auf der Spezialitätenliste zu führen. Es steht der Beschwerdeführerin entsprechend offen, das streitbezogene Arzneimittel von der Spezialitätenliste streichen zu lassen, was für sie eine freie Preisgestaltung zu Folge hätte. Solange das Arzneimittel B._______ jedoch auf der Spezialitätenliste geführt und damit zur Abrechnung durch die obligatorische Krankenpflegeversicherung zugelassen ist, muss die Beschwerdeführerin die Preiskontrolle durch die Vorinstanz in Kauf nehmen.</w:t>
      </w:r>
    </w:p>
    <w:p>
      <w:r>
        <w:rPr>
          <w:b/>
        </w:rPr>
        <w:t>E. 8</w:t>
      </w:r>
    </w:p>
    <w:p>
      <w:r>
        <w:t>Aus dem Dargelegten folgt, dass die von der Vorinstanz durchgeführte Wirtschaftlichkeitsprüfung mittels TQV und APV rechtskonform erfolgt ist und die Vorinstanz ihr Ermessen pflichtgemäss ausgeübt hat. Es ist insbesondere nicht zu beanstanden, dass die Vorinstanz für die Ermittlung der Tagestherapiekosten im TQV auf die durchschnittlichen respektive üblichen Dosierungen gemäss den Fachinformationen abgestellt hat. Nachdem vorliegend ausserdem der von der Vorinstanz angewandte Senkungssatz nicht streitig ist, erweist sich die mit der angefochtenen Verfügung vorgenommene Preissenkung des Arzneimittels B._______ als rechtmässig. Die angefochtene Verfügung ist damit zu bestätigten und die Beschwerde abzuweisen.</w:t>
      </w:r>
    </w:p>
    <w:p>
      <w:r>
        <w:rPr>
          <w:b/>
        </w:rPr>
        <w:t>E. 9.1</w:t>
      </w:r>
    </w:p>
    <w:p>
      <w:r>
        <w:t>Dem Verfahrensausgang entsprechend sind die Verfahrenskosten der Beschwerdeführerin aufzuerlegen (Art. 63 Abs. 1 VwVG). Diese sind unter Berücksichtigung des Streitwerts sowie des Umfangs und der Schwierigkeit der Streitsache, der Art der Prozessführung und der finanziellen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die Zusprechung einer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