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C-5884/2011 vom 12. August 2013</w:t>
      </w:r>
    </w:p>
    <w:p>
      <w:r>
        <w:t>Bundesverwaltungsgericht, 2013-08-12, IT</w:t>
      </w:r>
    </w:p>
    <w:p>
      <w:r>
        <w:rPr>
          <w:b/>
        </w:rPr>
        <w:t xml:space="preserve">Quelle: </w:t>
      </w:r>
      <w:r>
        <w:t>https://mcp.opencaselaw.ch/entscheid/bvger_C-5884_2011</w:t>
      </w:r>
    </w:p>
    <w:p>
      <w:r>
        <w:t>FR: TAF C-5884/2011 du 12 août 2013</w:t>
      </w:r>
    </w:p>
    <w:p>
      <w:r>
        <w:t>IT: TAF C-5884/2011 del 12 agosto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e che sostituiscono i Regolamenti (CEE) n. 1408/71 e (CEE) n. 574/72, non sono altresì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16 febbraio 2010, al caso in esame si applicano di principio le disposizioni della 5a revisione della LAI entrate in vigore il 1° gennaio 2008 (cfr. sentenza del Tribunale federale 8C_249/2010 del 1° giugno 2009; v. anche la sentenza del Tribunale amministrativo federale C-1605/2011 del 22 marzo 2013). Al caso di specie, non sono per contro applicabili le disposizioni della 6a revisione della LAI (primo pacchetto) che sono entrate in vigore il 1° gennaio 2012 (FF 2010 1603).</w:t>
      </w:r>
    </w:p>
    <w:p>
      <w:r>
        <w:rPr>
          <w:b/>
        </w:rPr>
        <w:t>E. 3.3.1</w:t>
      </w:r>
    </w:p>
    <w:p>
      <w:r>
        <w:t>Il ricorrente, come già menzionato, ha presentato la domanda di rendita il 16 febbraio 2010.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16 anni (v. doc. 9) e, pertanto, adempie in ogni caso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LAI,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5.4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spondiloartrosi con discopatia e sindrome radicolare destra, sindrome dispeptica in esiti di pregressa gastroresezione per ulcera e diverticolosi colon, sindrome ansioso depressiva (cfr. perizia medica particolareggiata E 213 del 19 maggio 2010 [doc. 10] e presa di posizione del medico SMR del 14 settembre 2011 [doc. 176]).</w:t>
      </w:r>
    </w:p>
    <w:p>
      <w:r>
        <w:rPr>
          <w:b/>
        </w:rPr>
        <w:t>E. 10.1</w:t>
      </w:r>
    </w:p>
    <w:p>
      <w:r>
        <w:t>Nella fattispecie in esame, occorre determinare se, e a partire da quando, il ricorrente abbia subito, e senza interruzione notevole, un'incapacità lavorativa media del 40% durante un anno giusta l'art. 28 cpv. 1 lett. b LAI. In considerazione della data d'inoltro della domanda di rendita (16 febbraio 2010), ma anche del momento in cui sarebbe sorta per la prima volta a partire dal 1° febbraio 2008 un'incapacità lavorativa nella precedente attività svolta dall'insorgente (cfr. presa di posizione del medico SMR del 17 giugno 2011), un diritto ad una rendita svizzera d'invalidità avrebbe potuto sorgere al più presto a partire dal 1° agosto 2010.</w:t>
      </w:r>
    </w:p>
    <w:p>
      <w:r>
        <w:rPr>
          <w:b/>
        </w:rPr>
        <w:t>E. 10.2.1</w:t>
      </w:r>
    </w:p>
    <w:p>
      <w:r>
        <w:t>L'autorità inferiore, fondandosi sui rapporti del suo servizio medico regionale (SMR), ha ritenuto che a causa del danno alla salute risulta per il ricorrente un'incapacità al lavoro del 40% nell'ultima attività lucrativa esercitata, ma una capacità lavorativa residua del 100% in un'attività sostitutiva confacente al suo stato di salute.</w:t>
      </w:r>
    </w:p>
    <w:p>
      <w:r>
        <w:rPr>
          <w:b/>
        </w:rPr>
        <w:t>E. 10.2.2</w:t>
      </w:r>
    </w:p>
    <w:p>
      <w:r>
        <w:t>Il dott. B._______, medico SMR, nei rapporti del 17 giugno e 14 settembre 2011 (doc. 83 e 176), ha in particolare rilevato che l'insorgente soffre di dolori alla colonna vertebrale, con presenza di alterazioni degenerative (in particolare, i referti di esame del maggio 2010 e del marzo e giugno 2011 [doc. 44, 86 e 89] evidenziano segni di cervicoartrosi, riduzione dello spazio tra C5-C6 e C6-C7, sofferenza radicolare C6, segni di spondiloartrosi, protrusioni discali L4-L5 e artrosi all'articolazione della spalla) e con limitazione della mobilità della colonna vertebrale per un terzo. Ha altresì osservato che il rapporto psichiatrico del maggio 2010 (doc. 41) attesta una depressione endoreattiva grave dal 2008. Secondo il medico SMR, il disturbo depressivo non è affatto di grave entità conto tenuto dei medicamenti che assume (v. doc. 176 in relazione segnatamente ai doc. 170 e 41), che mostra uno stato emotivo collaborante (v. doc. 98) ed ha lavorato sino a dicembre 2010. Il medico SMR ha inoltre segnalato che l'insorgente ha subito un intervento di gastrectomia parziale per ulcera nel 1975 e che è stato ricoverato nel novembre del 2009 per subocclusione intestinale (doc. 36.5) e nel gennaio del 2011 per epigastralgie (doc. 67.2). I disturbi digestivi non costituiscono comunque delle patologie aventi ripercussioni sulla capacità al lavoro. Il dott. B._______ ha quindi reputato che può essere ritenuta per il ricorrente un'incapacità lavorativa del 40% nella precedente attività a decorrere dal 1° febbraio 2008, ma ha considerato esigibile dal profilo medico nella misura del 100%, sempre dal 1° febbraio 2008, l'esercizio di un'attività leggera confacente allo stato di salute.</w:t>
      </w:r>
    </w:p>
    <w:p>
      <w:r>
        <w:rPr>
          <w:b/>
        </w:rPr>
        <w:t>E. 10.3</w:t>
      </w:r>
    </w:p>
    <w:p>
      <w:r>
        <w:t>Certo, nella perizia medica particolareggiata E 213 del 19 maggio 2010 (doc. 10), l'insorgente non è stato ritenuto capace di svolgere, per ciò che qui maggiormente interessa, un'attività sostitutiva adeguata a tempo pieno. Tuttavia, detto apprezzamento medico non trova alcun riscontro obiettivo né nella perizia medica stessa né in altri atti di causa. Da un lato, il citato apprezzamento risulta in contrasto con le limitazioni funzionali accertate nella perizia medesima, segnatamente l'atteggiamento ansioso depressivo dell'umore, la lievissima contrattura lombare con motilità in flessione limitata per circa 1/3, le poliartralgie a lieve incidenza funzionale, ma con movimenti (forza e tono muscolare) e andatura normali (doc. 10 pag. 3 e 4 n. 4.1, 4.8 e 4.10). Dall'altro lato, il medico incaricato dell'esame ha considerato egli stesso che il ricorrente è in grado di svolgere regolari lavori semipesanti (doc. 10 pag. 7 n. 9), ma senza precisare per quale motivo lo stesso non potrebbe più svolgere a tempo pieno un lavoro leggero adeguato alle sue condizioni. Nella perizia E 213 è stata altresì evidenziata un'invalidità del 55% in un'attività sostitutiva adeguata, ritenuta in Italia conformemente alle disposizioni di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w:t>
      </w:r>
    </w:p>
    <w:p>
      <w:r>
        <w:rPr>
          <w:b/>
        </w:rPr>
        <w:t>E. 10.4.1</w:t>
      </w:r>
    </w:p>
    <w:p>
      <w:r>
        <w:t>Il ricorrente ha fatto valere implicitamente, in sede di ricorso, di avere diritto ad una rendita d'invalidità in quanto le patologie di cui è affetto giustificano una completa incapacità al lavoro anche in un'attività leggera confacente allo stato di salute. Egli fonda la sua (diversa) valutazione sulla relazione medica del 22 agosto 2011 del dott. C._______, specialista in chirurgia (doc. 169 a 174), prodotta con scritto di obiezioni al progetto di decisione.</w:t>
      </w:r>
    </w:p>
    <w:p>
      <w:r>
        <w:rPr>
          <w:b/>
        </w:rPr>
        <w:t>E. 10.4.2</w:t>
      </w:r>
    </w:p>
    <w:p>
      <w:r>
        <w:t>Per quanto attiene all'indicata sopravvenienza di una depressione maggiore, il medico si è limitato ad enumerare genericamente dei disturbi psichici e/o comportamentali - crisi di pianto, umore depresso, marcata perdita di interesse per molte attività, diminuita capacità di riflettere, perdita di iniziativa (v. doc. 172) - senza alcun riferimento ad una classificazione secondo un metodo scientifico riconosciuto internazionalmente. Tale incompletezza - aggiunta segnatamente all'assenza di informazioni precise sullo stato psichico del paziente e sull'evoluzione nel tempo del disturbo psichico - non consente di conferire valore probatorio decisivo a tale rapporto, fermo restando che non vi è ragione di scostarsi, in assenza agli atti di elementi consistenti contrari al riguardo, dalla valutazione del medico SMR secondo cui l'indicazione di un trattamento con due farmaci antidepressivi non implica altresì, e di per sé, un'incapacità lavorativa. Pure in merito allo stato di salute reumatologico-ortopedico dell'insorgente non vi è ragione di scostarsi dall'apprezzamento del medico SMR in merito alla residua capacità lavorativa intatta in attività di sostituzione leggere, ritenuto che agli atti di causa non vi è documentazione medico-obiettiva dell'esistenza di affezioni (ernie discali multiple, osteoporosi e poliartrosi) aventi incidenza funzionale anche sulla residua capacità lavorativa in attività leggere adeguate. Infine, e secondo il parere convincente del medico SMR, anche alle evocate affezioni gastroenteriche e otorinolaringoiatriche non può essere attribuito alcuna incidenza sulla residua capacità lavorativa in attività sostitutive leggere confacenti allo stato di salute dell'insorgente in assenza di riscontri obiettivi in tal senso in esami specialistici.</w:t>
      </w:r>
    </w:p>
    <w:p>
      <w:r>
        <w:rPr>
          <w:b/>
        </w:rPr>
        <w:t>E. 10.5</w:t>
      </w:r>
    </w:p>
    <w:p>
      <w:r>
        <w:t>In conclusione, il ricorrente non ha presentato alcun argomento convincente né prodotto alcun documento medico obiettivo da cui desumere l'esistenza di un'affezione suscettibile di incidere sulla sua capacità lavorativa in un'attività sostitutiva leggera adeguata alle sue condizioni e dunque di far sorgere dei dubbi quanto alla valutazione del dott. B._______, secondo la quale l'insorgente, dal 1° febbraio del 2008, avrebbe comunque potuto svolgere al 100% attività leggere e adeguate al suo stato di salute come quelle indicate nella decisione impugnata.</w:t>
      </w:r>
    </w:p>
    <w:p>
      <w:r>
        <w:rPr>
          <w:b/>
        </w:rPr>
        <w:t>E. 11</w:t>
      </w:r>
    </w:p>
    <w:p>
      <w:r>
        <w:t>Occorre verificare se le attività di sostituzione proposte dall'autorità inferiore siano ragionevolmente esigibili dall'assicurato tenuto conto di una situazione equilibrata del mercato del lavoro (art. 16 LPGA).</w:t>
      </w:r>
    </w:p>
    <w:p>
      <w:r>
        <w:rPr>
          <w:b/>
        </w:rPr>
        <w:t>E. 11.1</w:t>
      </w:r>
    </w:p>
    <w:p>
      <w:r>
        <w:t>Al riguardo va rilevato che sebbene l'età avanzata venga considerato un fattore estraneo all'invalidità, la giurisprudenza riconosce che essa, insieme ad altri fattori di carattere personale o professionale, può ostare alla realizzazione della capacità lavorativa residua sul mercato del lavoro equilibrato. In che misura l'età influisca sulla possibilità di realizzare la capacità lavorativa residua non si valuta alla luce di un principio generale, ma tenuto conto delle esigenze delle attività di riferimento (cfr. sentenza del Tribunale federale 9C_916/2009 del 30 agosto 2009 e relativi riferimenti). In sostanza, ed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11.2</w:t>
      </w:r>
    </w:p>
    <w:p>
      <w:r>
        <w:t>Quanto all'esigibilità e alla possibilità per l'insorgente di esercitare una nuova attività in un mercato equilibrato del lavoro, questo Tribunale osserva che il medesimo, nato l'(...), aveva 62 anni e 9 mesi al momento in cui è stato accertato - il 17 giugno 2011 (v. la presa di posizione del medico SMR [doc. 83]) - che l'esercizio (al 100%) di un'attività lucrativa (leggera confacente al suo stato di salute) è ragionevolmente esigibile dal punto di vista medico (cfr. DTF 138 V 457 consid. 3.3; v. anche la sentenza del Tribunale amministrativo federale C-6022/2010 del 22 febbraio 2013 consid. 4.1.2). Il ricorrente, nonostante le patologie di cui soffre secondo la diagnosi riportata al considerando 9 del presente giudizio, può svolgere - secondo l'opinione del medico SMR interpellato che si è fondato su documentazione sufficiente per potere fondare un giudizio convincente in merito - un'attività sostitutiva leggera al 100% (v. sulle attività sostitutive adeguate alle condizioni del ricorrente la lettera F del presente giudizio). Per quanto attiene al genere d'attività sostitutive proposte e la natura delle sue affezioni, un adattamento del posto di lavoro alle condizioni di salute dell'insorgente non risulta altresì necessario rispettivamente appare di semplice realizzazione. Questo Tribunale osserva pure che al ricorrente, che durante la sua carriera professionale ha svolto le attività di manovale edile e muratore (v. doc. 172), operaio presso un calzificio (v. doc. 60 e 172) ed operaio agricolo (v. doc. 60 e 75), si presenta un ventaglio relativamente ampio di professioni possibili (e sufficientemente specificate) nel settore dei servizi, con mansioni semplici e ripetitive, che non richiedono necessariamente la messa in atto di particolari misure di reintegrazione professionale. Infine, va rilevato che un eventuale rapporto di lavoro avrebbe potuto proseguire per oltre 2 anni (fino all'età di pensionamento secondo il diritto svizzero). Da quanto esposto, discende che poteva essere ragionevolmente preteso dall'insorgente che avesse a mettere a profitto di propria iniziativa la sua residua capacità lavorativa in attività leggere adattate su un mercato del lavoro equilibrato.</w:t>
      </w:r>
    </w:p>
    <w:p>
      <w:r>
        <w:rPr>
          <w:b/>
        </w:rPr>
        <w:t>E. 12</w:t>
      </w:r>
    </w:p>
    <w:p>
      <w:r>
        <w:t>Infine, occorre esaminare la conformità del tasso d'invalidità calcolato dall'autorità inferiore. Questo Tribunale osserva, con riferimento al calcolo effettuato dall'autorità inferiore per la determinazione del tasso d'invalidità - secondo le basi di calcolo di cui al documento n. 84, trasmesso al ricorrente mediante il provvedimento del 16 aprile 2012 di questo Tribunale (doc. TAF 10), basi di calcolo peraltro rimaste incontestate in questa sede - che l'UAIE ha constatato che il ricorrente ha conseguito nel 2010 come bracciante agricolo un salario mensile di Euro 1'200.83 (secondo le indicazioni del datore di lavoro [doc. 75]). Il salario mensile ottenibile nel 2010 quale operaio agricolo addetto alla coltura a pieno campo ammontava tuttavia a Euro 1'378.07 (tenuto conto di un salario medio mensile nel 2008 di Euro 1'298.94 [cfr. statistiche edite dall'Ufficio internazionale del lavoro, Ginevra 2009] indicizzato al 2010 [l'indice dei salari in Italia è passato da 109.82 nel 2008 a 116.51 nel 2010; cfr. Principaux indicateurs économiques, Organisation de coopération et de développement économiques OCDE]). Il reddito da valido conseguito dal ricorrente era quindi inferiore per motivi estranei all'invalidità del 14,76% (100 : 1'200.83 x [1'378.07 - 1'200.83]) alla media dei salari per un'attività equivalente. L'autorità inferiore ha dunque proceduto ad un parallelismo dei redditi di riferimento aumentando il reddito da valido effettivamente conseguito dall'insorgente del 9,76% (corrispondente alla parte percentuale eccedente la soglia determinante del 5%; cfr. DTF 134 V 322 consid. 4.1 e DTF 135 V 297). Ne risulta un reddito da valido di Euro 1'318.03 mensili (1'200.83 + 117.20). L'UAIE ha ritenuto quale reddito da invalido, il salario ottenibile dall'insorgente nel 2008 in attività semplici e leggere, ossia Euro 1'334.11 mensili (secondo le statistiche edite dall'Ufficio internazionale del lavoro di Ginevra 2009). Peraltro, il reddito da invalido può essere ulteriormente ridotto, al massimo del 25%, per tenere conto dei fattori professionali e personali del caso (DTF 126 V 75). L'UAIE ha operato una riduzione del 25%, la quale appare corretta conto tenuto dell'insieme delle circostanze del caso di specie. Ne risulta un reddito dopo l'insorgenza dell'invalidità di Euro 1'000.58. Dal confronto fra il reddito da valido di Euro 1'318.02 e quello da invalido di Euro 1'000.58 consegue la determinazione di un grado d'invalidità del 24% che esclude il riconoscimento del diritto ad una rendita dell'assicurazione svizzera per l'invalidità. Il calcolo della perdita di guadagno è stato indicato come segue: [(1'318.03 - 1'000.58) x 100] : 1'318.03 = 24.09% (doc. 84). Per quanto attiene alla determinazione del reddito da invalido, questo Tribunale osserva altresì che si sarebbe dovuto fare riferimento ai dati dell'anno 2010, ritenuto che il diritto ad una rendita dell'assicurazione svizzera per l'invalidità sarebbe potuto sorgere al più presto nell'agosto del 2010 (cfr. consid. 10.1 del presente giudizio; DTF 129 V 222) e che per il raffronto dei redditi occorre basarsi su un medesimo anno di riferimento sia per il salario da valido sia per il salario da invalido. Si sarebbe pertanto dovuto tenere conto di un salario medio mensile con invalidità nel 2010 di Euro 1'415.38 (tenuto conto dei salari medi mensile nel 2008 nelle categorie "operaio nell'industria del cuoio e degli articoli in pelle, addetto alla produzione nel settore fabbricazione di apparecchi ed equipaggiamenti elettrici, cassiere nel settore commercio al dettaglio, venditore nel settore commercio al dettaglio" [cfr. statistiche edite dall'Ufficio internazionale del lavoro, Ginevra 2009] aggiornati al 2010 [l'indice dei salari in Italia è passato da 109.82 nel 2008 a 116.51 nel 2010; cfr. Principaux indicateurs économiques, Organisation de coopération et de développement économiques OCDE]), fermo restando che nulla sarebbe cambiato nella sostanza ai fini dell'esito della presente vertenza, dal momento che, operata una riduzione del 25%, ne sarebbe conseguito un grado d'invalidità del 19.46% ([{1'318.03 - 1'061.53} x 100] : 1'318.03 = 19.46%).</w:t>
      </w:r>
    </w:p>
    <w:p>
      <w:r>
        <w:rPr>
          <w:b/>
        </w:rPr>
        <w:t>E. 13</w:t>
      </w:r>
    </w:p>
    <w:p>
      <w:r>
        <w:t>Da quanto esposto consegue che il ricorso, destituito di fondamento, non merita tutela e la decisione impugnata va confermata.</w:t>
      </w:r>
    </w:p>
    <w:p>
      <w:r>
        <w:rPr>
          <w:b/>
        </w:rPr>
        <w:t>E. 14.1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identico ammontare, versato dall'insorgente stesso il 5 dicembre 2011.</w:t>
      </w:r>
    </w:p>
    <w:p>
      <w:r>
        <w:rPr>
          <w:b/>
        </w:rPr>
        <w:t>E. 14.2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