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C-5883/2019 vom 12. Januar 2021</w:t>
      </w:r>
    </w:p>
    <w:p>
      <w:r>
        <w:t>Bundesverwaltungsgericht, 2021-01-12, DE</w:t>
      </w:r>
    </w:p>
    <w:p>
      <w:r>
        <w:rPr>
          <w:b/>
        </w:rPr>
        <w:t xml:space="preserve">Quelle: </w:t>
      </w:r>
      <w:r>
        <w:t>https://mcp.opencaselaw.ch/entscheid/bvger_C-5883_2019</w:t>
      </w:r>
    </w:p>
    <w:p>
      <w:r>
        <w:t>FR: TAF C-5883/2019 du 12 janvier 2021</w:t>
      </w:r>
    </w:p>
    <w:p>
      <w:r>
        <w:t>IT: TAF C-5883/2019 del 12 gennaio 2021</w:t>
      </w:r>
    </w:p>
    <w:p>
      <w:pPr>
        <w:pStyle w:val="Heading2"/>
      </w:pPr>
      <w:r>
        <w:t>Regeste</w:t>
      </w:r>
    </w:p>
    <w:p>
      <w:r>
        <w:t>Spezialitätenliste</w:t>
      </w:r>
    </w:p>
    <w:p>
      <w:pPr>
        <w:pStyle w:val="Heading2"/>
      </w:pPr>
      <w:r>
        <w:t>Erwägungen</w:t>
      </w:r>
    </w:p>
    <w:p>
      <w:r>
        <w:rPr>
          <w:b/>
        </w:rPr>
        <w:t>E. 1</w:t>
      </w:r>
    </w:p>
    <w:p>
      <w:r>
        <w:t>Das Bundesverwaltungsgericht ist zur Behandlung der vorliegenden Beschwerde zuständig (Art. 31, 32 und 33 Bst. d VGG).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rechtzeitig geleistet wurde (Art. 63 Abs. 4 VwVG), ist auf die Beschwerde einzutreten.</w:t>
      </w:r>
    </w:p>
    <w:p>
      <w:r>
        <w:rPr>
          <w:b/>
        </w:rPr>
        <w:t>E. 2</w:t>
      </w:r>
    </w:p>
    <w:p>
      <w:r>
        <w:t>Anfechtungsobjekt und damit Begrenzung des Streitgegenstandes des vorliegenden Beschwerdeverfahrens bildet die Verfügung der Vorinstanz vom 10. Oktober 2019, mit welcher der Publikumspreis (PP) des von der Beschwerdeführerin vertriebenen Arzneimittels B._______ im Rahmen der Überprüfung der Aufnahmebedingungen alle drei Jahre per 1. Dezember 2019 gesenkt wurde.</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3.2</w:t>
      </w:r>
    </w:p>
    <w:p>
      <w:r>
        <w:t>Das Bundesverwaltungsgericht ist gemäss dem Grundsatz der Rechtsanwendung von Amtes wegen nicht an die Begründung der Begehren der Parteien gebunden (Art. 62 Abs. 4 VwVG). Es kann die Beschwerde auch aus anderen als den geltend gemachten Gründen (teilweise) gutheissen oder den angefochtenen Entscheid auch mit einer von der Vorinstanz abweichenden Begründung bestätigen (vgl. für viele: Urteil C-6591/2012 2012 vom 7. Oktober 2015 E. 3.3 m.w.H.).</w:t>
      </w:r>
    </w:p>
    <w:p>
      <w:r>
        <w:rPr>
          <w:b/>
        </w:rPr>
        <w:t>E. 3.3</w:t>
      </w:r>
    </w:p>
    <w:p>
      <w:r>
        <w:t>In zeitlicher Hinsicht sind grundsätzlich diejenigen materiell-rechtlichen Rechtssätze massgebend, die bei der Erfüllung des zu Rechtsfolgen führenden Sachverhalts Geltung haben (BGE 141 V 657 E. 3.5.1). Massgebend sind vorliegend die im Zeitpunkt der Verfügung, am 10. Oktober 2019, geltenden materiellen Bestimmungen (Urteil des BVGer C-5912/2013 vom 30. April 2015 [nicht in BVGE 2015/51 publizierte] E. 2.3). Dazu gehören neben dem KVG (SR 832.10; in der ab dem 1. Juli 2019 gültigen Fassung), insbesondere die KVV (in der ab dem 1. Januar 2019 gültigen Fassung) sowie die KLV (in der ab dem 1. Oktober 2019 gültigen Fassung).</w:t>
      </w:r>
    </w:p>
    <w:p>
      <w:r>
        <w:rPr>
          <w:b/>
        </w:rPr>
        <w:t>E. 4</w:t>
      </w:r>
    </w:p>
    <w:p>
      <w:r>
        <w:t>Die Beschwerdeführerin macht in ihrer Beschwerde in formeller Hinsicht geltend, die Vorinstanz habe ihre Verfügung nicht hinreichend begründet, indem sie sich mit der alternativen Dosierungsanweisung nicht auseinandergesetzt habe (vgl. Beschwerdeschrift Rz. 34). Damit habe sie gegen die Begründungspflicht verstossen sowie das rechtliche Gehör verletzt. Auf diese Rüge ist im Folgenden einzugehen.</w:t>
      </w:r>
    </w:p>
    <w:p>
      <w:r>
        <w:rPr>
          <w:b/>
        </w:rPr>
        <w:t>E. 4.1</w:t>
      </w:r>
    </w:p>
    <w:p>
      <w:r>
        <w:t>Art. 29 Abs. 2 BV gewährt den Parteien Anspruch auf rechtliches Gehör. Der Anspruch auf rechtliches Gehör ist das Recht der Privaten, in einem vor einer Verwaltungs- oder Justizbehörde geführten Verfahren mit ihren Begehren angehört zu werden, Einblick in die Akten zu erhalten und zu den für die Entscheidung wesentlichen Punkten Stellung nehmen zu können (Häfelin/Müller/Uhlmann, Allgemeines Verwaltungsrecht, 7. Aufl., 2016, Rz. 1002; Häfelin/HALLER/KELLER, Schweizerisches Bundesstaatsrecht, 9. Auflage, 2016, Rz. 836). Bei der Begründungspflicht handelt es sich ebenfalls um einen Teilgehalt des Anspruchs auf rechtliches Gehör gemäss Art. 29 Abs. 2 BV (MOSER/BEUSCH/KNEUBÜHLER, Prozessieren vor Bundesverwaltungsgericht, 2. Aufl., 2013, Rz. 3.103; vgl. HAEFELIN/HALLER/KELLER, Schweizerisches Bundesstaatsrecht, ebd., Rz. 838, letzter Absatz). Nach gefestigter bundesgerichtlicher Rechtsprechung muss ein Verwaltungsakt so abgefasst sein, dass die Betroffenen ihn gegebenenfalls sachgerecht anfechten können (BGE 125 II 369 E. 2c, 124 V 180 E. 1a). Dies ist nur dann möglich, wenn sich sowohl der Betroffene als auch die Rechtsmittelinstanz ein Bild über die Tragweite des Entscheides machen können. Somit müssen in jedem Fall die Überlegungen angeführt werden, von denen sich die Behörde hat leiten lassen und auf die sie ihren Entscheid stützt (BGE 129 I 232 E. 3.2; MOSER/BEUSCH/KNEUBÜHLER, Prozessieren vor Bundesverwaltungsgericht, ebd., Rz. 3.106). Erforderlich ist jedoch stets eine Auseinandersetzung mit dem konkret zu beurteilenden Sachverhalt, sodass Erwägungen allgemeiner Art ohne eine Bezugnahme auf den Sachverhalt im Einzelfall nicht genügen (vgl. BVGE 2012/24 E. 3.2.3, Urteil des BVGer A-3629/2007 vom 9. Januar 2008 E. 3.4).</w:t>
      </w:r>
    </w:p>
    <w:p>
      <w:r>
        <w:rPr>
          <w:b/>
        </w:rPr>
        <w:t>E. 4.2</w:t>
      </w:r>
    </w:p>
    <w:p>
      <w:r>
        <w:t>Die Vorinstanz hat sich in ihrer Vernehmlassung zu dieser Rüge der Beschwerdeführerin nicht geäussert.</w:t>
      </w:r>
    </w:p>
    <w:p>
      <w:r>
        <w:rPr>
          <w:b/>
        </w:rPr>
        <w:t>E. 4.3</w:t>
      </w:r>
    </w:p>
    <w:p>
      <w:r>
        <w:t>In der angefochtenen Verfügung hat die Vorinstanz sowohl die Forderung der Beschwerdeführerin, wonach der Dosierungsangabe nach Bedarf Rechnung zu tragen sei, als auch die von der Beschwerdeführerin vorgeschlagenen alternativen Berechnungsmodelle einleitend dargelegt. Anschliessend hat sie einlässlich zur alternativen Berechnungsweise der Beschwerdeführerin Stellung genommen und den eigenen, hiervon abweichenden Standpunkt erörtert (vgl. Verfügung BAG vom 10. Oktober 2019 Ziff. 2.2.4). Damit hat sich die Vorinstanz in der angefochtenen Verfügung - entgegen der Auffassung der Beschwerdeführerin - durchaus mit der von der Beschwerdeführerin vorgeschlagenen Berechnung des TQV auf der Basis der Dosierungsanweisungen nach Bedarf auseinandergesetzt. Dass sie sich dieser alternativen Berechnungsweise der Beschwerdeführerin nicht angeschlossen hat, ist demgegenüber keine Frage des rechtlichen Gehörs, sondern der materiellen Fallwürdigung, welche im Nachfolgenden (siehe E. 7 ff. hiernach) durch das Bundesverwaltungsgericht zu überprüfen sein wird. Die Verfügungsbegründung enthält darüber hinaus die wesentlichen Überlegungen, auf welche die Vorinstanz ihren Entscheid stützt. Die Beschwerdeführerin macht denn auch zu Recht nicht geltend, dass sie die angefochtene Verfügung aufgrund einer ungenügenden Begründung nicht hätte sachgerecht vor dem Bundesverwaltungsgericht anfechten können. Eine Verletzung der Begründungspflicht ist unter diesen Umständen nicht auszumachen.</w:t>
      </w:r>
    </w:p>
    <w:p>
      <w:r>
        <w:rPr>
          <w:b/>
        </w:rPr>
        <w:t>E. 5.1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5.2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5.3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abrufbar unter http:www.spezialitaetenliste.ch &gt; aktueller Datenstamm [Excel-Liste], abgerufen am 17. November 2020).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(BGE 139 V 375 E. 4.2 m.H.).</w:t>
      </w:r>
    </w:p>
    <w:p>
      <w:r>
        <w:rPr>
          <w:b/>
        </w:rPr>
        <w:t>E. 5.4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(BGE 129 V 32 E. 3.2.1).</w:t>
      </w:r>
    </w:p>
    <w:p>
      <w:r>
        <w:rPr>
          <w:b/>
        </w:rPr>
        <w:t>E. 5.5</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5.6</w:t>
      </w:r>
    </w:p>
    <w:p>
      <w:r>
        <w:t>Die Aufnahme eines Arzneimittels in die Spezialitätenliste setzt voraus, dass es wirksam, zweckmässig und wirtschaftlich ist und eine gültige Zulassung des Heilmittelinstituts (Swissmedic) vorliegt (Art. 30 Abs. 1 KLV, Art. 65 Abs. 1 und 3 KVV).</w:t>
      </w:r>
    </w:p>
    <w:p>
      <w:r>
        <w:rPr>
          <w:b/>
        </w:rPr>
        <w:t>E. 5.7</w:t>
      </w:r>
    </w:p>
    <w:p>
      <w:r>
        <w:t>Gemäss bundesgerichtlicher Rechtsprechung (BGE 143 V 369 E. 6) ist die gültige Zulassung des Schweizerischen Heilmittelinstituts Swissmedic eine notwendige, aber nicht hinreichende Bedingung für die Aufnahme eines Arzneimittels in die Spezialitätenliste. Swissmedic erteilt nach Prüfung insbesondere der Qualität, der Sicherheit und der Wirksamkeit des Arzneimittels die heilmittelrechtliche Zulassung ausdrücklich für definierte Indikationen oder Anwendungsgebiete und genehmigt ferner auch die entsprechende Arzneimittelinformation. Eine Aufnahme in die Spezialitätenliste ist nur in den Grenzen der Indikationen und Anwendungsvorschriften gemäss Swissmedic-Zulassung möglich. Das BAG seinerseits prüft, ob die WZW-Kriterien erfüllt sind und entscheidet über die Aufnahme in die Spezialitätenliste. Angesichts dieser doppelstufigen Zulassungsprüfung, wobei entscheidend ist, dass die nachgelagerte SL-Zulassung namentlich in Bezug auf die Indikationen nicht weitergehen darf als die heilmittelrechtliche Zulassung, muss das BAG auf die Swissmedic-Zulassung bzw. die Fachinformationen abstellen können. In diesem Zusammenhang ist zu beachten, dass Swissmedic die zugelassenen Arzneimittel und damit einhergehend auch die Fachinformationen periodisch sowie nach jeweils fünf Jahren anlässlich der Erneuerung der Zulassung überprüft.</w:t>
      </w:r>
    </w:p>
    <w:p>
      <w:r>
        <w:rPr>
          <w:b/>
        </w:rPr>
        <w:t>E. 5.8</w:t>
      </w:r>
    </w:p>
    <w:p>
      <w:r>
        <w:t>Ein Arzneimittel gilt nach Art. 65b KVV als wirtschaftlich, wenn es die indizierte Heilwirkung mit möglichst geringem finanziellem Aufwand gewährleistet (Abs. 1). Die Wirtschaftlichkeit wird gemäss Abs. 2 aufgrund eines Vergleichs mit dem Preis in Referenzländern (Bst. a; Auslandpreisvergleich [APV]) und mit anderen Arzneimitteln (Bst. b; therapeutischen Quervergleichs [TQV]) beurteilt. Beim APV wird mit dem Fabrikabgabepreis verglichen. Bestehen keine öffentlich zugänglichen Fabrikabgabepreise, so wird der Apothekeneinstandspreis oder, falls dieser auch nicht öffentlich zugänglich ist, der Grosshandelspreis berücksichtigt; vom Apothekeneinstandspreis oder vom Grosshandelspreis werden Grosshandelsmargen abgezogen. Das EDI legt die Höhe des Abzugs aufgrund der durchschnittlich gewährten Grosshandelsmargen fest. Es kann vorsehen, dass die effektiven anstatt der durchschnittlich gewährten Grosshandelsmargen abgezogen werden (Abs. 3). Von den Fabrikabgabepreisen der Referenzländer werden in einem Referenzland verbindliche Herstellerrabatte abgezogen. Das EDI legt fest, welche verbindlichen Herstellerrabatte für den Abzug zu berücksichtigen sind. Es kann vorsehen, dass anstatt dieser Herstellerrabatte die effektiven Herstellerrabatte abgezogen werden (Abs. 4). Beim TQV wird gemäss Abs. 4bis die Wirksamkeit im Verhältnis zu anderen Arzneimitteln, die zur Behandlung derselben Krankheit eingesetzt werden überprüft (Bst. a), und die Kosten des Arzneimittels pro Tag oder Kur im Verhältnis zu den Kosten von Arzneimitteln, die zur Behandlung derselben Krankheit eingesetzt werden (Bst. b), verglichen. Nach der Ermittlung des durchschnittlichen Preises der Referenzländer im Auslandpreisvergleich und des durchschnittlichen Preises anderer Arzneimittel im therapeutischen Quervergleich werden beide Preise je hälftig gewichtet (Abs. 5). Bei der Beurteilung der Wirtschaftlichkeit eines Originalpräparates werden zudem die Kosten für Forschung und Entwicklung berücksichtigt, es sei denn es handelt sich beim Originalpräparat um ein Nachfolgepräparat, das gegenüber dem bisher in der Spezialitätenliste aufgeführten Originalpräparat keinen therapeutischen Fortschritt bringt (Abs. 6). Bringt das Arzneimittel einen bedeutenden therapeutischen Fortschritt, so wird im Rahmen des therapeutischen Quervergleichs während höchstens 15 Jahren ein Innovationszuschlag berücksichtigt (Abs. 7).</w:t>
      </w:r>
    </w:p>
    <w:p>
      <w:r>
        <w:rPr>
          <w:b/>
        </w:rPr>
        <w:t>E. 5.9</w:t>
      </w:r>
    </w:p>
    <w:p>
      <w:r>
        <w:t>Gemäss Art. 34f Abs. 1 KLV werden beim therapeutischen Quervergleich nach Art. 65b Abs. 2 Bst. b KVV diejenigen Originalpräparate berücksichtigt, die zum Zeitpunkt der Überprüfung in der Spezialitätenliste aufgeführt sind und zur Behandlung derselben Krankheit eingesetzt werden.</w:t>
      </w:r>
    </w:p>
    <w:p>
      <w:r>
        <w:rPr>
          <w:b/>
        </w:rPr>
        <w:t>E. 6</w:t>
      </w:r>
    </w:p>
    <w:p>
      <w:r>
        <w:t>Vorliegend nicht streitig ist der Umstand, dass das Arzneimittel B._______ nach wie vor über eine gültige Zulassung des Heilmittelinstituts (Swissmedic) verfügt (siehe auch die Liste der zugelassenen Präparate auf (&lt; www.swissmedic.ch &gt; Listen und Verzeichnisse &gt; Humanarzneimittel &gt; zugelassene Arzneimittel, abgerufen am 17. November 2020) und die Zulassungsvoraussetzungen der Wirksamkeit und Zweckmässigkeit weiterhin erfüllt sind. Umstritten ist hingegen das Zulassungskriterium der Wirtschaftlichkeit. So ist vorliegend streitig und vom Bundesverwaltungsgericht zu prüfen, ob die von der Vorinstanz im Rahmen der dreijährlichen Überprüfung der Aufnahmebedingungen angeordnete Preisreduktion rechtmässig ist. Dabei ist lediglich vorliegend die Berechnung des TQV, nicht aber jene des APV, streitig.</w:t>
      </w:r>
    </w:p>
    <w:p>
      <w:r>
        <w:rPr>
          <w:b/>
        </w:rPr>
        <w:t>E. 7</w:t>
      </w:r>
    </w:p>
    <w:p>
      <w:r>
        <w:t>Die Vorinstanz hat in der angefochtenen Verfügung das Arzneimittel B._______ verglichen mit den gemäss der Spezialitätenliste ebenfalls der Behandlung des D._______ dienenden Arzneimitteln L._______, F._______, G._______, E._______, H._______, I._______, J._______, M._______, N._______ und K._______. Diese Auswahl der Vergleichsarzneimittel wird vorliegend von der Beschwerdeführerin nicht bestritten. Von der Beschwerdeführerin unbestritten sind sodann die von der Vorinstanz im TQV berücksichtigten Tagestherapiekosten der Produkte L._______, E._______, N._______, B.______ und M._______ (vgl. Beschwerdeziff. IV.2). Hingegen bestreitet die Beschwerdeführerin die von der Vorinstanz im TQV berücksichtigten Tagestherapiekosten bezüglich der Vergleichsarzneimittel F._______, G._______, H._______, I._______, J._______ sowie K._______ und fordert unter dem Eventualstandpunkt sowie dem Subeventualstandpunkt jeweils alternative Berechnungen dieser Tagestherapiekosten, bei denen den in den Fachinformationen zugelassenen Anwendungen «nach Bedarf» mit entsprechenden Korrekturen der Portionen pro Tag nach oben Rechnung zu tragen sei.</w:t>
      </w:r>
    </w:p>
    <w:p>
      <w:r>
        <w:rPr>
          <w:b/>
        </w:rPr>
        <w:t>E. 7.1</w:t>
      </w:r>
    </w:p>
    <w:p>
      <w:r>
        <w:t>Während die Beschwerdeführerin im vorinstanzlichen Verfahren noch der Auffassung war, der TQV sei auf der Basis der Kosten pro Applikation respektive pro Monodose zu berechnen, anstelle der von der Vorinstanz berücksichtigten Tagestherapiekosten, bestreitet sie im vorliegenden Verfahren lediglich noch die konkrete Bemessung dieser Tages-therapiekosten in Bezug auf die vorangehend aufgeführten, vorliegend streitigen Arzneimittel. Art. 65b Abs. 4bis Bst. b KVV sieht in diesem Zusammenhang vor, dass im TQV die Kosten des Arzneimittels pro Tag oder Kur im Verhältnis zu den Kosten von Arzneimitteln, die zur Behandlung derselben Krankheit eingesetzt werden, zu überprüfen sind. Da bei der Therapie eines D._______ die Behandlung in der Regel nicht bereits nach der Anwendung einer einzelnen Applikation respektive Monodose abgeschlossen ist und die durchschnittlichen täglichen Anwendungen der verschiedenen Präparate vorliegend stark variieren (vgl. E. 7.3 hiernach), hat die Vorinstanz vorliegend zu Recht zwecks Vornahme eines plausiblen Kostenvergleichs auf die jeweiligen Tagestherapiekosten der einzelnen Vergleichspräparate abgestellt.</w:t>
      </w:r>
    </w:p>
    <w:p>
      <w:r>
        <w:rPr>
          <w:b/>
        </w:rPr>
        <w:t>E. 7.2</w:t>
      </w:r>
    </w:p>
    <w:p>
      <w:r>
        <w:t>Gemäss der Rechtsprechung des Bundesverwaltungsgerichts hat sich die Vorinstanz bei der Feststellung der im TQV zu vergleichenden Tagestherapiekosten an den aus den Fachinformationen hervorgehenden Dosierungsvorschriften der einbezogenen Arzneimittel zu orientieren (Urteil des BVGer C-595/2015 vom 19. Juni 2018 E. 7.6 und E. 8.2), wobei davon ausgegangen werden kann, dass die durch die Swissmedic genehmigten Fachinformationen regelmässig auf den neusten Stand gebracht werden (vgl. Urteil des BVGer C-5976/2018 vom 15. April 2020 E. 7.2.8). Sofern sich den Fachinformationen genaue Dosierungsangaben entnehmen lassen, an Hand derer sich die durchschnittlichen Tagestherapiekosten berechnen lassen, besteht kein Raum für eine «praxisnahe Annahme» der durchschnittlichen Tagestherapiekosten (Urteil des BVGer C-595/2015 vom 19. Juni 2018 E. 8.3). Ist mangels präziser Dosierungsangaben in den Fachinformationen eine unmittelbare Berechnung der Tagestherapiekosten nicht möglich, können die Tagestherapiekosten dieser Präparate lediglich approximativ festgestellt werden, wobei dies auf eine nachvollziehbare und sachgerechte Weise zu erfolgen hat (Urteile des BVGer C-595/2015 vom 19. Juni 2018 E. 8.4 und C-5976/2018 vom 15. April 2020 E. 7.4).</w:t>
      </w:r>
    </w:p>
    <w:p>
      <w:r>
        <w:rPr>
          <w:b/>
        </w:rPr>
        <w:t>E. 7.3</w:t>
      </w:r>
    </w:p>
    <w:p>
      <w:r>
        <w:t>Bezüglich der vorliegend streitigen Produkte F._______, G._______, H._______, I._______, J._______, K._______ liegen zweifellos in den jeweiligen Fachinformationen Dosierungsvorschriften vor. Gemäss der vorangehend zitierten Rechtsprechung hat sich somit die Ermittlung der Tagestherapiekosten an diesen Dosierungsvorschriften gemäss den Fachinformationen zu orientieren. Diese Dosierungsvorschriften sind nachfolgend in Bezug auf die einzelnen, vorliegend streitigen Arzneimittel tabellarisch aufzulisten: Arzneimittel Dosierung für Erwachsene gemäss Fachinformation F._______ Übliche Dosierung: (...) Tropfen (...)-mal pro Tag (...), oder immer dann, wenn die Symptome (...) auftreten. G._______ (...) Tropfen (...) mal täglich (...), oder immer dann, wenn die Symptome (...) auftreten. H._______ Im Allgemeinen (...) x täglich, oder je nach Bedarf, (...) Tropfen (...). I._______ Je nach (...) der Beschwerden (...) mal täglich oder häufiger und (...) Tropfen (...). J._______ (...) Tropfen (...) x täglich oder nach Bedarf in (...). K._______ Die Häufigkeit (...) nach dem Bedarf. Sie liegt durchschnittlich bei (...) mal täglich (...) Tropfen. K._______ kann bei Bedarf auch häufiger angewendet werden.</w:t>
      </w:r>
    </w:p>
    <w:p>
      <w:r>
        <w:rPr>
          <w:b/>
        </w:rPr>
        <w:t>E. 7.4</w:t>
      </w:r>
    </w:p>
    <w:p>
      <w:r>
        <w:t>Wie die Beschwerdeführerin zu Recht vermerkt, lassen die Anwendungshinweise gemäss den Fachinformationen hinsichtlich der vorliegend streitigen Produkte - neben der üblichen respektive durchschnittlichen Dosierung - eine alternative Dosierung nach Bedarf (in der Tabelle hiervor jeweils kursiv hervorgehoben) zu. Die Beschwerdeführerin verkennt jedoch, dass diese Dosierungsanweisungen nach Bedarf nicht nur eine höhere Dosierung, sondern grundsätzlich auch eine Abweichung nach unten, zulassen. So ist es denkbar, dass Patientinnen und Patienten aufgrund der Dosierungsanweisung nach Bedarf eines dieser Arzneimittel weniger als üblich anwenden, da bei ihnen die Symptome des D._______ seltener als üblich auftreten. Zum dahingehenden Hinweis der Vorinstanz, wonach die Beschwerdeführerin zu Unrecht davon ausgeht, dass die Bezeichnungen «nach Bedarf», «oder häufiger» etc. primär dazu dienten, die Standarddosierung zu überschreiten (vgl. Vernehmlassung Rz. 14), hat sich die Beschwerdeführerin in ihrer Replik nicht geäussert. Nachdem bei den vorangehend aufgelisteten Produkten in der Praxis somit Abweichungen von den Dosierungsempfehlungen nach oben oder nach unten auftreten dürften, ist davon auszugehen, dass die als üblich respektive durchschnittlich angegebenen Dosierungen auch in Bezug auf die alternativen höheren oder geringeren Dosierungen nach Bedarf Mittelwerte der durchschnittlich benötigten Tagesdosis darstellen. Die üblichen respektive durchschnittlichen Dosierungen erfassen bei dieser Sichtweise somit auch die alternativen Dosierungsmöglichkeiten nach Bedarf.</w:t>
      </w:r>
    </w:p>
    <w:p>
      <w:r>
        <w:rPr>
          <w:b/>
        </w:rPr>
        <w:t>E. 7.5</w:t>
      </w:r>
    </w:p>
    <w:p>
      <w:r>
        <w:t>Damit erweisen sich die vorangehend tabellarisch aufgelisteten Dosierungsvorschriften der Fachinformationen - auch unter Berücksichtigung der darin zugelassenen alternativen Dosierungen nach Bedarf - als genügend klar, so dass sich an Hand dieser die durchschnittlichen Tagestherapiekosten berechnen lassen. Dies schliesst eine praxisnahe respektive approximative Festlegung der durchschnittlichen Tagestherapiekosten aus Diese Auffassung teilt auch die Beschwerdeführerin (vgl. Beschwerde Ziff. 2.5 und Replik Ziff. 4). Es ist damit nicht zu beanstanden, dass die Vorinstanz für die Berechnung der Tagestherapiekosten auf die den Fachinformationen zu entnehmenden durchschnittlichen respektive üblichen Dosierungen abgestellt hat.</w:t>
      </w:r>
    </w:p>
    <w:p>
      <w:r>
        <w:rPr>
          <w:b/>
        </w:rPr>
        <w:t>E. 7.6</w:t>
      </w:r>
    </w:p>
    <w:p>
      <w:r>
        <w:t>Die Beschwerdeführerin kritisiert in ihrer Beschwerde, die Vorinstanz habe ihr Ermessen verletzt, indem sie die (separaten) Dosierungsanweisungen «nach Bedarf», «oder häufiger» etc. für die Ermittlung der Tagestherapiekosten nicht berücksichtigt habe.</w:t>
      </w:r>
    </w:p>
    <w:p>
      <w:r>
        <w:rPr>
          <w:b/>
        </w:rPr>
        <w:t>E. 7.6.1</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Dies gilt, solange nicht ernsthafte Gründe ein Abweichen von der Expertenmeinung rechtfertigen (vgl. BGE 135 II 296 E. 4.4.3; 133 II 35 E. 3; 128 V 159 E. 3b/cc). 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w:t>
      </w:r>
    </w:p>
    <w:p>
      <w:r>
        <w:rPr>
          <w:b/>
        </w:rPr>
        <w:t>E. 7.6.2</w:t>
      </w:r>
    </w:p>
    <w:p>
      <w:r>
        <w:t>Wie vorangehend dargelegt, ist die Vorinstanz zu Recht davon ausgegangen, dass die alternativen Dosierungsanweisungen «nach Bedarf», «oder häufiger» etc. sowohl eine Überschreitung als auch eine Unterschreitung der Standarddosierung zulassen. Damit hat sie diese alternativen Dosierungsanweisungen bei ihrem Entscheid, für die Ermittlung der Tagestherapiekosten auf die durchschnittlichen respektive üblichen Dosierungen gemäss den Fachinformationen abzustellen, mitberücksichtigt. Ausserdem hat die Vorinstanz in ihrer Vernehmlassung darauf hingewiesen, dass die in den Fachinformationen mit «im Allgemeinen», «in der Regel», «üblicherweise» etc. bezeichneten Dosierungen der durchschnittlich angewendeten Dosierung entsprechen und davon auszugehen ist, dass die meisten Patientinnen und Patienten diese Dosierung entsprechend der Fachinformation berücksichtigten. Auch aufgrund dieser nachvollziehbaren Überlegungen der Vorinstanz erscheint es sachgerecht, dass diese für die Berechnung der Tagestherapiekosten auf die den Fachinformationen zu entnehmenden durchschnittlichen respektive üblichen Dosierungen abgestellt hat. Die Vorinstanz hat damit bei der Bemessung der Tagestherapiekosten im Rahmen ihres Ermessens gehandelt, weshalb vorliegend entgegen der Auffassung der Beschwerdeführerin keine Ermessensverletzung auszumachen ist.</w:t>
      </w:r>
    </w:p>
    <w:p>
      <w:r>
        <w:rPr>
          <w:b/>
        </w:rPr>
        <w:t>E. 7.7</w:t>
      </w:r>
    </w:p>
    <w:p>
      <w:r>
        <w:t>Unter diesen Umständen erübrigt sich eine detaillierte Auseinandersetzung mit den von der Beschwerdeführerin erstellten Modellvarianten A und B zur Berechnung der Tagestherapiekosten. Im Übrigen sind auch die diesbezüglichen Hinweise der Vorinstanz in der Vernehmlassung, wonach diesen Modellvarianten ihrerseits willkürlich gewählte Maximalwerte zu Grunde liegen, nicht von der Hand zu weisen. Da vorliegend davon auszugehen ist, dass die übliche respektive durchschnittliche Dosierung gleichzeitig auch Mittelwerte in Bezug auf die Dosierungsvorschriften nach Bedarf darstellen (vgl. E. 7.4 hiervor), erweist sich der Sachverhalt auch mit Blick auf die Dosierungsvorschriften nach Bedarf als genügend geklärt. Hinsichtlich den von der Beschwerdeführerin in ihrer Replik geforderten Studien zur Frage der Quantifizierbarkeit der Dosierungsvorschriften nach Bedarf, welche die Vorinstanz zu veranlassen habe, ist sodann auf den Grundsatz der materiellen Beweislastverteilung gemäss Art. 8 ZGB zu verweisen. Hiernach obläge es vielmehr der Beschwerdeführerin, entsprechende ihren Standpunkt untermauernde Studien zu beschaffen und dem Bundesverwaltungsgericht vorzulegen, zumal auch die Beschwerdeführerin die Folgen einer sich allfälligen Beweislosigkeit zu tragen hätte (vgl. z.B. Urteil des BVGer C-6511/2012 vom 13. Mai 2016 E. 6.2).</w:t>
      </w:r>
    </w:p>
    <w:p>
      <w:r>
        <w:rPr>
          <w:b/>
        </w:rPr>
        <w:t>E. 7.8</w:t>
      </w:r>
    </w:p>
    <w:p>
      <w:r>
        <w:t>Abschliessend ist die von der Vorinstanz in Bezug auf die vorliegend streitigen Vergleichsprodukte aufgrund der in den Fachinformationen angegebenen üblichen Dosierungen (vgl. E. 7.3 hiervor) im Einzelnen vorgenommene Bezifferung der Tagestherapiekosten zu überprüfen.</w:t>
      </w:r>
    </w:p>
    <w:p>
      <w:r>
        <w:rPr>
          <w:b/>
        </w:rPr>
        <w:t>E. 7.8.1</w:t>
      </w:r>
    </w:p>
    <w:p>
      <w:r>
        <w:t>Beim Arzneimittel F._______ ist die Vorinstanz von der in der Fachinformation angegebenen üblichen Dosierung von (...)-mal (...) Tropfen pro Tag ausgegangen. Ebenfalls hat sie berücksichtigt, dass die Monodosen nach der Verwendung verworfen werden müssen und eine Monodose (à [...] ml) zur Applikation an (...) ausreicht. Die Vorinstanz ist damit zu Recht davon ausgegangen, dass üblicherweise (...) Monodosen für eine Tagestherapie verwendet werden. Aufgrund des Fabrikabgabepreises von Fr. (...) für (...) Monodosen beträgt der Preis für (...) Monodosen Fr. (...). Die Vorinstanz hat damit die Tagestherapiekosten für das Arzneimittel F._______ zu Recht auf Fr. (...) festgelegt.</w:t>
      </w:r>
    </w:p>
    <w:p>
      <w:r>
        <w:rPr>
          <w:b/>
        </w:rPr>
        <w:t>E. 7.8.2</w:t>
      </w:r>
    </w:p>
    <w:p>
      <w:r>
        <w:t>Beim Arzneimittel G._______ ist die Vorinstanz von der in der Fachinformation angegebenen üblichen Dosierung von (...)- bis (...)-mal täglich (...) Tropfen ausgegangen. Ebenfalls hat sie berücksichtigt, dass die Monodosen nach der Verwendung verworfen werden müssen und eine Monodose (à [...] ml) zur Applikation an (...) ausreicht. Die Vorinstanz ist damit zu Recht davon ausgegangen, dass durchschnittlich ein Mittelwert von (...) Monodosen für eine Tagestherapie verwendet wird. Aufgrund des Fabrikabgabepreises von Fr. (...) für (...) Monodosen beträgt der Preis für (...) Monodosen Fr. (...). Die Vorinstanz hat damit die Tagestherapiekosten für das Arzneimittel G._______ zu Recht auf Fr. (...) festgelegt.</w:t>
      </w:r>
    </w:p>
    <w:p>
      <w:r>
        <w:rPr>
          <w:b/>
        </w:rPr>
        <w:t>E. 7.8.3</w:t>
      </w:r>
    </w:p>
    <w:p>
      <w:r>
        <w:t>Beim Arzneimittel H._______ ist die Vorinstanz von der in der Fachinformation angegebenen üblichen Dosierung von (...)-mal täglich (...) Tropfen ausgegangen. Ebenfalls hat sie berücksichtigt, dass die Monodosen nach der Verwendung verworfen werden müssen und eine Monodose (à [...] g) zur Applikation an (...) ausreicht. Die Vorinstanz ist damit zu Recht davon ausgegangen, dass üblicherweise (...) Monodosen für eine Tagestherapie verwendet werden. Aufgrund des Fabrikabgabepreises von Fr. (...) für (...) Monodosen beträgt der Preis für (...) Monodosen Fr. (...). Die Vorinstanz hat damit die Tagestherapiekosten für das Arzneimittel H._______ zu Recht auf Fr. (...) festgelegt.</w:t>
      </w:r>
    </w:p>
    <w:p>
      <w:r>
        <w:rPr>
          <w:b/>
        </w:rPr>
        <w:t>E. 7.8.4</w:t>
      </w:r>
    </w:p>
    <w:p>
      <w:r>
        <w:t>Beim Arzneimittel I._______ ist die Vorinstanz von der in der Fachinformation angegebenen üblichen Dosierung von (...)- bis (...)-mal täglich sowie (...) Tropfen ausgegangen. Ebenfalls hat sie berücksichtigt, dass die Monodosen nach der Verwendung verworfen werden müssen und eine Monodose (à [...] g) zur Applikation an (...) ausreicht. Die Vorinstanz ist damit zu Recht davon ausgegangen, dass durchschnittlich (...) Monodosen (Mittelwert von [...] bis [...] Monodosen) für eine Tagestherapie verwendet werden. Aufgrund des Fabrikabgabepreises von Fr. (...) für (...) Monodosen beträgt der Preis für (...) Monodosen Fr. (...). Die Vorinstanz hat damit die Tagestherapiekosten für das Arzneimittel I._______ zu Recht auf Fr. (...) festgelegt. Soweit die Beschwerdeführerin diesbezüglich in ihrer Beschwerde rügt, die Vorinstanz habe in ihrer Tabelle zwar die alternative Dosierungsanweisung «oder häufiger» aufgeführt, diese jedoch nicht in ihre Berechnung einfliessen lassen, ist zu verweisen auf die vorangehenden Schlussfolgerungen des Bundesverwaltungsgerichts, wonach es nicht zu beanstanden ist, dass die Vorinstanz davon ausging, dass die in den Fachinformationen angegebene übliche Dosierung die Dosierungsanweisungen nach Bedarf bereits abdeckt (vgl. E. 7.4 hiervor).</w:t>
      </w:r>
    </w:p>
    <w:p>
      <w:r>
        <w:rPr>
          <w:b/>
        </w:rPr>
        <w:t>E. 7.8.5</w:t>
      </w:r>
    </w:p>
    <w:p>
      <w:r>
        <w:t>Beim Arzneimittel J._______ ist die Vorinstanz von der in der Fachinformation angegebenen üblichen Dosierung von (...) bis (...) Tropfen zweimal täglich oder «nach Bedarf» ausgegangen. Hierbei hat sie berücksichtigt, dass die Monodosen nach der Verwendung verworfen werden müssen und eine Monodose (à [...] ml) für das Einträufeln von (...) bis (...) Tropfen in (...) (und somit für eine Applikation von [...] bis [...] Tropfen bezüglich [...]) ausreicht. Die Vorinstanz ist damit zu Recht davon ausgegangen, dass üblicherweise (...) Monodosen für eine Tagestherapie verwendet werden. Aufgrund des Fabrikabgabepreises von Fr. (...) für (...) Monodosen beträgt der Preis für (...) Monodosen Fr. (...). Die Vorinstanz hat damit die Tagestherapiekosten für das Arzneimittel J._______ zu Recht auf Fr. (...) festgelegt. Soweit die Beschwerdeführerin diesbezüglich in ihrer Beschwerde rügt, die Vorinstanz habe in ihrer Tabelle zwar die alternative Dosierungsanweisung «nach Bedarf» aufgeführt, diese jedoch nicht in ihre Berechnung einfliessen lassen, ist zu erneut verweisen auf die vorangehenden Schlussfolgerungen des Bundesverwaltungsgerichts, wonach es nicht zu beanstanden ist, dass die Vorinstanz davon ausging, dass die in den Fachinformationen angegebene übliche Dosierung die alternativen Dosierungsanweisungen nach Bedarf bereits abdeckt (vgl. E. 7.4 hiervor). Dies gilt ebenfalls für die von der Beschwerdeführerin in ihrer Replik erhobene Rüge, wonach sich die doppelte Dosierung der L._______ gegenüber dem Arzneimittel J._______ aufgrund der Angaben in den Fachinformationen nicht erklären lasse. Die Beschwerdeführerin führt in ihrer Replik insbesondere an, nur weil die Fachinformation beim einen Präparat mehr Angaben zur Viskosität enthalte als beim anderen und nur weil sich die Hilfsstoffe der Präparate unterschieden, könnten die unterschiedlichen Dosierungen und Viskositäten - entgegen der Auffassung der Vorinstanz - nicht wissenschaftlich und quantifizierbar verglichen werden. Dies spielt indessen vorliegend keine Rolle, nachdem die Beschwerdeführerin die von der Vorinstanz im TQV berücksichtigten Tagestherapiekosten der L._______ ausdrücklich akzeptiert hat (vgl. E. 7 hiervor) und die vorangehend aufgelistete übliche Dosierung des Arzneimittels J._______ den diesbezüglichen Angaben in der Fachinformation (vgl. E. 7.3 hiervor) entspricht.</w:t>
      </w:r>
    </w:p>
    <w:p>
      <w:r>
        <w:rPr>
          <w:b/>
        </w:rPr>
        <w:t>E. 7.8.6</w:t>
      </w:r>
    </w:p>
    <w:p>
      <w:r>
        <w:t>Beim Arzneimittel K._______ ist die Vorinstanz von der in der Fachinformation angegebenen üblichen Dosierung von durchschnittlich (...)- bis (...)-mal täglich (...) Tropfen ausgegangen. Ebenfalls hat sie berücksichtigt, dass die Monodosen nach der Verwendung verworfen werden müssen und eine Monodose (à [...] g) zur Applikation an (...) ausreicht. Die Vorinstanz ist damit zu Recht davon ausgegangen, dass durchschnittlich (...) Monodosen (Mittelwert von [...] bis [...] Monodosen) für eine Tagestherapie verwendet werden. Aufgrund des Fabrikabgabepreises von Fr. (...) für (...) Monodosen beträgt der Preis für (...) Monodosen Fr. (...). Die Vorinstanz hat damit die Tagestherapiekosten für das Arzneimittel K._______ zu Recht auf Fr. (...) festgelegt. Die Beschwerdeführerin rügt beschwerdeweise, die alternative Dosierungsanweisung beim Arzneimittel K._______ lasse eine Erweiterung der durchschnittlichen Anwendung nur nach oben zu. Diesbezüglich ist auf die vorangehend dargelegte Auffassung des Bundesverwaltungsgerichts zu verweisen, wonach im Rahmen der Dosierung nach Bedarf grundsätzlich auch eine Abweichung nach unten denkbar ist (vgl. E. 7.4 hiervor). An dieser Auffassung des Bundesverwaltungsgerichts vermag auch die in der Fachinformation verwendete konkrete Formulierung («K._______ kann bei Bedarf auch häufiger angewendet werden») nichts zu ändern.</w:t>
      </w:r>
    </w:p>
    <w:p>
      <w:r>
        <w:rPr>
          <w:b/>
        </w:rPr>
        <w:t>E. 7.8.7</w:t>
      </w:r>
    </w:p>
    <w:p>
      <w:r>
        <w:t>Insgesamt ist damit festzustellen, dass die Vorinstanz die Tagestherapiekosten der vorliegend streitigen Vergleichsprodukte korrekt berechnet hat.</w:t>
      </w:r>
    </w:p>
    <w:p>
      <w:r>
        <w:rPr>
          <w:b/>
        </w:rPr>
        <w:t>E. 7.9</w:t>
      </w:r>
    </w:p>
    <w:p>
      <w:r>
        <w:t>Schliesslich macht die Beschwerdeführerin geltend, der angefochtene Entscheid sei unangemessen, da das Arzneimittel B._______ zwar auf der Spezialitätenliste figuriere, jedoch der Kategorie D zugeordnet sei und damit ohne ärztliche Verschreibung abgegeben werden dürfe. Aufgrund des sehr tiefen Preises werde das Arzneimittel mehrheitlich privat finanziert. Daher sei es nicht nötig, die Publikumspreise zu reduzieren, um die Krankenkassen zu entlasten. Diesbezüglich ist ohne Weiteres zu verweisen auf die Ausführungen der Vorinstanz in ihrer Vernehmlassung, wonach die Beschwerdeführerin nicht verpflichtet ist, das Arzneimittel B._______ auf der Spezialitätenliste zu führen. Es steht der Beschwerdeführerin entsprechend offen, das streitbezogene Arzneimittel von der Spezialitätenliste streichen zu lassen, was für sie eine freie Preisgestaltung zu Folge hätte. Solange das Arzneimittel B._______ jedoch auf der Spezialitätenliste geführt und damit zur Abrechnung durch die obligatorische Krankenpflegeversicherung zugelassen ist, muss die Beschwerdeführerin die Preiskontrolle durch die Vorinstanz in Kauf nehmen.</w:t>
      </w:r>
    </w:p>
    <w:p>
      <w:r>
        <w:rPr>
          <w:b/>
        </w:rPr>
        <w:t>E. 8</w:t>
      </w:r>
    </w:p>
    <w:p>
      <w:r>
        <w:t>Aus dem Dargelegten folgt, dass die von der Vorinstanz durchgeführte Wirtschaftlichkeitsprüfung mittels TQV und APV rechtskonform erfolgt ist und die Vorinstanz ihr Ermessen pflichtgemäss ausgeübt hat. Es ist insbesondere nicht zu beanstanden, dass die Vorinstanz für die Ermittlung der Tagestherapiekosten im TQV auf die durchschnittlichen respektive üblichen Dosierungen gemäss den Fachinformationen abgestellt hat. Nachdem vorliegend ausserdem der von der Vorinstanz angewandte Senkungssatz nicht streitig ist, erweist sich die mit der angefochtenen Verfügung vorgenommene Preissenkung des Arzneimittels B._______ als rechtmässig. Die angefochtene Verfügung ist damit zu bestätigten und die Beschwerde abzuweisen.</w:t>
      </w:r>
    </w:p>
    <w:p>
      <w:r>
        <w:rPr>
          <w:b/>
        </w:rPr>
        <w:t>E. 9.1</w:t>
      </w:r>
    </w:p>
    <w:p>
      <w:r>
        <w:t>Dem Verfahrensausgang entsprechend sind die Verfahrenskosten der Beschwerdeführerin aufzuerlegen (Art. 63 Abs. 1 VwVG). Diese sind unter Berücksichtigung des Streitwerts sowie des Umfangs und der Schwierigkeit der Streitsache, der Art der Prozessführung und der finanziellen Lage der Parteien (vgl. Art. 63 Abs. 4bis VwVG i.V.m. Art. 2 Abs. 1 und Art. 4 des Reglements vom 21. Februar 2008 über die Kosten und Entschädigungen vor dem Bundesverwaltungsgericht [VGKE, SR 173.320.2]) auf Fr. 5'000.- festzusetzen. Der einbezahlte Kostenvorschuss ist zur Bezahlung der Verfahrenskosten zu verwenden.</w:t>
      </w:r>
    </w:p>
    <w:p>
      <w:r>
        <w:rPr>
          <w:b/>
        </w:rPr>
        <w:t>E. 9.2</w:t>
      </w:r>
    </w:p>
    <w:p>
      <w:r>
        <w:t>Der Beschwerdeführerin ist bei diesem Verfahrensausgang keine Parteientschädigung zuzusprechen (Art. 64 Abs. 1 VwVG). Die obsiegende Vorinstanz hat als Bundesbehörde ebenfalls keinen Anspruch auf die Zusprechung einer Parteientschädigung (Art. 7 Abs. 3 VGKE).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