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C-587/2024 vom 29. Juli 2024</w:t>
      </w:r>
    </w:p>
    <w:p>
      <w:r>
        <w:t>Bundesverwaltungsgericht, 2024-07-29, DE</w:t>
      </w:r>
    </w:p>
    <w:p>
      <w:r>
        <w:rPr>
          <w:b/>
        </w:rPr>
        <w:t xml:space="preserve">Quelle: </w:t>
      </w:r>
      <w:r>
        <w:t>https://mcp.opencaselaw.ch/entscheid/bvger_C-587_2024</w:t>
      </w:r>
    </w:p>
    <w:p>
      <w:r>
        <w:t>FR: TAF C-587/2024 du 29 juillet 2024</w:t>
      </w:r>
    </w:p>
    <w:p>
      <w:r>
        <w:t>IT: TAF C-587/2024 del 29 luglio 2024</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Gemäss Art. 31 des Bundesgesetzes vom 17. Juni 2005 über das Bun- desverwaltungsgericht (Verwaltungsgerichtsgesetz, VGG, SR 173.32) in Verbindung mit Art. 32 und Art. 33 Bst. d VGG sowie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gemäss Art. 37 VGG grundsätzlich nach VwVG. Vorbehalten bleiben gemäss Art. 3 Bst. dbis VwVG die besonderen Bestimmungen des Bundesgesetzes vom</w:t>
      </w:r>
    </w:p>
    <w:p>
      <w:r>
        <w:rPr>
          <w:b/>
        </w:rPr>
        <w:t>E. 1.3</w:t>
      </w:r>
    </w:p>
    <w:p>
      <w:r>
        <w:t>Als direkte Adressatin ist die Beschwerdeführerin von der angefochte- nen Verfügung berührt und sie kann sich auf ein schutzwürdiges Interesse an deren Aufhebung oder Änderung berufen (Art. 59 ATSG; Art. 48 Abs. 1 VwVG). Auf die eingereichte Beschwerde ist, nachdem die Pflicht zu Leis- tung eines Kostenvorschusses infolge der Gewährung der unentgeltlichen Rechtspflege entfallen ist (vgl. Art. 69 Abs. 1bis und 2 IVG i.V.m. Art. 63 Abs. 4 VwVG; BVGer3-act. 2), einzutreten (Art. 60 ATSG; Art. 52 Abs. 1 VwVG). 2. Zum Beschwerdeverfahren ist Folgendes festzuhalten: 2.1 Das Bundesverwaltungsgericht prüft die Verletzung von Bundesrecht einschliesslich der Überschreitung oder des Missbrauchs des Ermessens, die unrichtige oder unvollständige Feststellung des rechtserheblichen Sachverhalts und die Unangemessenheit (Art. 49 VwVG).</w:t>
      </w:r>
    </w:p>
    <w:p>
      <w:r>
        <w:t>C-587/2024 Seite 7 2.2 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2.3 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3. Nachfolgend ist zunächst das anwendbare materielle Recht und der zeit- lich massgebende Sachverhalt zu bestimmen: 3.1 Die Beschwerdeführerin ist indische Staatsangehörige und mit einem Schweizer Bürger verheiratet (vgl. oben Bst. A). Gemäss Bundesgerichts- urteil 8C_660/2018 vom 7. Mai 2019 haben sowohl die Beschwerdeführe- rin als auch ihr Ehemann Wohnsitz in Deutschland. Da das Bundesverwal- tungsgericht im Urteil C-5240/2023 vom 29. Juli 2024 überdies festgestellt hat, dass sich hieran nichts geändert habe, liegt offensichtlich ein grenz- überschreitender Sachverhalt mit Bezug zur EU vor (vgl. dazu BGE 145 V 231 E. 7.1; 143 V 81 E. 8.3).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3.2 In zeitlicher Hinsicht sind grundsätzlich diejenigen Rechtssätze mass- geblich, die bei der Erfüllung des zu Rechtsfolgen führenden Tatbestandes Geltung haben (BGE 143 V 446 E. 3.3; 139 V 335 E. 6.2; 138 V 475 E. 3.1).</w:t>
      </w:r>
    </w:p>
    <w:p>
      <w:r>
        <w:t>C-587/2024 Seite 8 Deshalb finden die Vorschriften Anwendung, die spätestens beim Erlass der Verfügung vom 22. Dezember 2023 in Kraft standen; weiter aber auch Vorschriften, die zu jenem Zeitpunkt bereits ausser Kraft getreten waren, die aber für die Beurteilung allenfalls früher entstandener Leistungsansprü- che von Belang sind.</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 3.3 Das Sozialversicherungsgericht stellt bei der Beurteilung einer Streit- sache in der Regel auf den bis zum Zeitpunkt des Erlasses der streitigen Verwaltungsverfügung (hier: 22. Dezember 2023) eingetretenen Sachver- halt ab (BGE 132 V 215 E. 3.1.1; 130 V 445 E. 1.2). Tatsachen, die jenen Sachverhalt seither verändert haben, sollen im Normalfall Gegenstand ei- ner neuen Verwaltungsverfügung sein (BGE 121 V 362 E. 1b; Urteil des BGer 8C_136/2017 vom 7. August 2017 E. 3). Immerhin sind indes Tatsa- chen, die sich erst später verwirklichen, soweit zu berücksichtigen, als sie mit dem Streitgegenstand in engem Sachzusammenhang stehen und ge- eignet sind, die Beurteilung im Zeitpunkt des Verfügungserlasses zu beein- flussen (BGE 121 V 362 E. 1b; Urteile des BGer 8C_95/2017 vom 15. Mai 2017 E. 5.1 und 9C_24/2008 vom 27. Mai 2008 E. 2.3.1). 4. Anfechtungsobjekt und damit Begrenzung des Streitgegenstandes des vorliegenden Beschwerdeverfahrens (vgl. BGE 131 V 164 E. 2.1) bildet die Verfügung vom 22. Dezember 2023, mit der die Vorinstanz die Leistungen im Zeitraum vom 1. Dezember 2019 bis zum 30. November 2021 in der Höhe von Fr. 9'356.– zurückfordert. Streitig und vom Bundesverwaltungs- gericht zu prüfen ist damit die Zulässigkeit dieser Rückforderung.</w:t>
      </w:r>
    </w:p>
    <w:p>
      <w:r>
        <w:t>C-587/2024 Seite 9 5. Mit Verfügung vom 28. August 2023 hob die IVSTA die der Beschwerde- führerin zuvor zugesprochene Rente rückwirkend für die Zeiträume vom</w:t>
      </w:r>
    </w:p>
    <w:p>
      <w:r>
        <w:rPr>
          <w:b/>
        </w:rPr>
        <w:t>E. 2</w:t>
      </w:r>
    </w:p>
    <w:p>
      <w:r>
        <w:t>Zum Beschwerdeverfahren ist Folgendes festzuhalten: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w:t>
      </w:r>
    </w:p>
    <w:p>
      <w:r>
        <w:t>Nachfolgend ist zunächst das anwendbare materielle Recht und der zeitlich massgebende Sachverhalt zu bestimmen:</w:t>
      </w:r>
    </w:p>
    <w:p>
      <w:r>
        <w:rPr>
          <w:b/>
        </w:rPr>
        <w:t>E. 3.1</w:t>
      </w:r>
    </w:p>
    <w:p>
      <w:r>
        <w:t>Die Beschwerdeführerin ist indische Staatsangehörige und mit einem Schweizer Bürger verheiratet (vgl. oben Bst. A). Gemäss Bundesgerichtsurteil 8C_660/2018 vom 7. Mai 2019 haben sowohl die Beschwerdeführerin als auch ihr Ehemann Wohnsitz in Deutschland. Da das Bundesverwaltungsgericht im Urteil C-5240/2023 vom 29. Juli 2024 überdies festgestellt hat, dass sich hieran nichts geändert habe, liegt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22. Dezember 2023 in Kraft standen; weiter aber auch Vorschriften, die zu jenem Zeitpunkt bereits ausser Kraft getreten waren, die aber für die Beurteilung allenfalls früher entstandener Leistungsansprüche von Belang sind. Am 1. Januar 2022 sind die Änderung vom 19. Juni 2020 des IVG und des ATSG (Weiterentwicklung der IV; AS 2021 705; BBl 2020 5535; Botschaft des Bundesrates vom 15. Februar 2017 [BBl 2017 2535]) sowie die Änderungen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w:t>
      </w:r>
    </w:p>
    <w:p>
      <w:r>
        <w:rPr>
          <w:b/>
        </w:rPr>
        <w:t>E. 3.3</w:t>
      </w:r>
    </w:p>
    <w:p>
      <w:r>
        <w:t>Das Sozialversicherungsgericht stellt bei der Beurteilung einer Streitsache in der Regel auf den bis zum Zeitpunkt des Erlasses der streitigen Verwaltungsverfügung (hier: 22. Dezember 2023)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8C_95/2017 vom 15. Mai 2017 E. 5.1 und 9C_24/2008 vom 27. Mai 2008 E. 2.3.1).</w:t>
      </w:r>
    </w:p>
    <w:p>
      <w:r>
        <w:rPr>
          <w:b/>
        </w:rPr>
        <w:t>E. 4</w:t>
      </w:r>
    </w:p>
    <w:p>
      <w:r>
        <w:t>Anfechtungsobjekt und damit Begrenzung des Streitgegenstandes des vorliegenden Beschwerdeverfahrens (vgl. BGE 131 V 164 E. 2.1) bildet die Verfügung vom 22. Dezember 2023, mit der die Vorinstanz die Leistungen im Zeitraum vom 1. Dezember 2019 bis zum 30. November 2021 in der Höhe von Fr. 9'356.- zurückfordert. Streitig und vom Bundesverwaltungsgericht zu prüfen ist damit die Zulässigkeit dieser Rückforderung.</w:t>
      </w:r>
    </w:p>
    <w:p>
      <w:r>
        <w:rPr>
          <w:b/>
        </w:rPr>
        <w:t>E. 5</w:t>
      </w:r>
    </w:p>
    <w:p>
      <w:r>
        <w:t>Mit Verfügung vom 28. August 2023 hob die IVSTA die der Beschwerdeführerin zuvor zugesprochene Rente rückwirkend für die Zeiträume vom 10. April 2011 bis zum 20. November 2013, vom 29. August 2015 bis zum 20. November 2016 und ab dem 19. November 2019 auf. Diese Verfügung wurde - wie erwähnt (vgl. oben Bst. B.c.c) - ebenfalls beim Bundesverwaltungsgericht angefochten. Die entsprechende Beschwerde wird im konnexen Verfahren C-5240/2023 gleichzeitig mit dem vorliegenden Verfahren behandelt. Einer Vereinigung der beiden Verfahren bedarf es demnach nicht, weshalb der diesbezügliche Eventualantrag der Beschwerdeführerin abzuweisen ist.</w:t>
      </w:r>
    </w:p>
    <w:p>
      <w:r>
        <w:rPr>
          <w:b/>
        </w:rPr>
        <w:t>E. 6</w:t>
      </w:r>
    </w:p>
    <w:p>
      <w:r>
        <w:t>Oktober 2000 über den Allgemeinen Teil des Sozialversicherungsrechts (ATSG, SR 830.1). Nach den allgemeinen intertemporalrechtlichen Regeln finden diejenigen Verfahrensregeln Anwendung, welche im Zeitpunkt der Beschwerdebeurteilung in Kraft stehen (BGE 130 V 1 E. 3.2).</w:t>
      </w:r>
    </w:p>
    <w:p>
      <w:r>
        <w:rPr>
          <w:b/>
        </w:rPr>
        <w:t>E. 6.1</w:t>
      </w:r>
    </w:p>
    <w:p>
      <w:r>
        <w:t>Unrechtmässig bezogene Leistungen sind zurückzuerstatten. Wer Leistungen in gutem Glauben empfangen hat, muss sie nicht zurückerstat- ten, wenn eine grosse Härte vorliegt (Art. 25 Abs. 1 ATSG). Gemäss Art. 25 Abs. 2 Satz 1 ATSG erlischt der Rückforderungsanspruch gemäss der vom 1. Januar 2003 bis 31. Dezember 2020 in Kraft gestandenen Fassung (AS 2002 3376) mit dem Ablauf eines Jahres und gemäss der seit dem 1. Ja- nuar 2021 in Kraft stehenden Fassung (AS 2020 5137) mit Ablauf von drei Jahren, nachdem die Versicherungseinrichtung davon Kenntnis erhalten hat, spätestens aber mit dem Ablauf von fünf Jahren nach der Entrichtung der einzelnen Leistung. Bei den genannten Fristen handelt es sich um von Amtes wegen zu beachtende Verwirkungsfristen (BGE 146 V 217 E. 2.1, 140 V 521 E. 2.1 und 138 V 74 E. 4.1, je m.H.; Urteil des BGer 8C_843/2018 vom 22. Januar 2018 E. 3.2 m.H.).</w:t>
      </w:r>
    </w:p>
    <w:p>
      <w:r>
        <w:t>Mangels besonderer Übergangsvorschriften – es besteht lediglich eine übergangsrechtliche Bestimmung, wonach für im Zeitpunkt des Inkrafttre- tens der neuen Fassung von Art. 25 Abs. 2 ATSG vom 1. Januar 2021 beim erstinstanzlichen Gericht hängige Beschwerden das bisherige Recht gilt (vgl. Art. 82a ATSG) – ist aufgrund der allgemeinen intertemporalrechtli- chen Regeln vorliegend zu beachten, dass für bis Ende 2020 zu Unrecht ausgerichtete Leistungen eine relative einjährige Verwirkungsfrist und für ab dem Jahr 2021 unrechtmässig ausgerichtete Leistungen eine solche von drei Jahren zur Anwendung gelangt (vgl. dazu Urteil des Bundesver- waltungsgerichts [BVGer] C-557/2022 vom 20. März 2023 E. 4.1).</w:t>
      </w:r>
    </w:p>
    <w:p>
      <w:r>
        <w:t>C-587/2024 Seite 10</w:t>
      </w:r>
    </w:p>
    <w:p>
      <w:r>
        <w:rPr>
          <w:b/>
        </w:rPr>
        <w:t>E. 6.2</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 erstattung an, in dem zu beantworten ist, ob – bei der festgestellten Un- rechtmässigkeit des Leistungsbezugs – eine rückwirkende Korrektur ge- mäss Art. 25 Abs. 1 Satz 1 ATSG erfolgt. Die Rechtsprechung lässt es al- lerdings zu, dass über die Unrechtmässigkeit des Leistungsbezuges und über die allfällige sich daraus ergebende Rückerstattungspflicht gemein- sam entschieden wird (vgl. Urteil des BGer 9C_564/2009 vom 22. Januar 2010 E. 6.4; UELI KIESER, Rückforderung unrechtmässig bezogener Leis- tungen von Dritten, in: Sozialversicherungsrechtstagung 2010, 2011, S. 224). Schliesslich ist drittens, auf entsprechendes Gesuch hin, über den Erlass der zurückzuerstattenden Leistung gemäss Art. 25 Abs. 1 Satz 2 ATSG zu entscheiden (vgl. UELI KIESER, ATSG-Kommentar, 4. Aufl. 2020, Art. 25 Rz. 21), dies jedoch erst, wenn die Rechtsbeständigkeit der Rück- erstattungsforderung feststeht (Urteil des BGer 9C_466/2014 vom 2. Juli 2015 E. 3.1 m.H.; vgl. auch Art. 4 Abs. 4 der Verordnung vom 11. Septem- ber 2002 über den Allgemeinen Teil des Sozialversicherungsrechts [ATSV, SR 830.11]). 7. Vorliegend hat die Vorinstanz im Rahmen des in Erwägung 6.2 beschrie- benen mehrstufigen Verfahrens zwar in einem ersten Schritt die der Be- schwerdeführerin zuvor zugesprochene Rente rückwirkend für die Zeit- räume vom 10. April 2011 bis zum 20. November 2013, vom 29. August 2015 bis zum 20. November 2016 und ab dem 19. November 2019 aufge- hoben. Allerdings hat das Bundesverwaltungsgericht die Beschwerde ge- gen diese Verfügung mit Urteil vom 29. Juli 2024 im Verfahren C-5240/2023 gutgeheissen und die Verfügung vom 28. August 2023 auf- gehoben. Damit entfällt die der Anordnung einer Rückerstattung zugrunde liegende Unrechtmässigkeit des Leistungsbezugs. Entsprechend ist vorlie- gend die Beschwerde vom 26. Januar 2024 gutzuheissen und die Verfü- gung vom 22. Dezember 2023 ersatzlos aufzuheben. 8. Zu befinden bleibt über die Verfahrenskosten und allfällige Parteientschä- digungen.</w:t>
      </w:r>
    </w:p>
    <w:p>
      <w:r>
        <w:t>C-587/2024 Seite 11 8.1 Das Beschwerdeverfahren ist kostenpflichtig (Art. 69 Abs. 1bis i.V.m. Art. 69 Abs. 2 IVG), wobei die Verfahrenskosten grundsätzlich der unterlie- genden Partei auferlegt werden (Art. 63 Abs. 1 VwVG). Der obsiegenden Beschwerdeführerin sind keine Verfahrenskosten aufzuerlegen. Der Vor- instanz sind ebenfalls keine Verfahrenskosten aufzuerlegen (vgl. Art. 63 Abs. 2 VwVG). 8.2 Die obsiegende, durch Advokat Nicolai Fullin vertretene Beschwerde- führerin hat gemäss Art. 64 Abs. 1 VwVG in Verbindung mit Art. 7 ff. des Reglements vom 21. Februar 2008 über die Kosten und Entschädigungen vor dem Bundesverwaltungsgericht (VGKE, SR 173.320.2) Anspruch auf eine Parteientschädigung zu Lasten der Verwaltung, womit der subsidiäre Anspruch auf eine Entschädigung aus der mit Zwischenverfügung vom 31. Januar 2024 bewilligten unentgeltlichen Rechtsverbeiständung entfällt (vgl. KAYSER/ALTMANN, Kommentar zum Bundesgesetz über das Verwal- tungsverfahren [VwVG], 2. Aufl. 2019, Art. 65 Rz. 82).</w:t>
      </w:r>
    </w:p>
    <w:p>
      <w:r>
        <w:t>Da keine Kostennote eingereicht wurde, ist die Entschädigung aufgrund der Akten festzusetzen (Art. 14 Abs. 2 Satz 2 VGKE). Unter Berücksichti- gung des Verfahrensausgangs, des gebotenen und aktenkundigen Auf- wands, der Bedeutung der Streitsache und der Schwierigkeit des vorlie- gend zu beurteilenden Verfahrens ist eine Parteientschädigung von Fr. 1’400.– (inkl. Auslagen, ohne Mehrwertsteuer [vgl. dazu auch Urteil des BVGer C-6173/2009 vom 29. August 2011 m.H.]) gerechtfertigt. Die Par- teientschädigung ist von der Vorinstanz nach Eintritt der Rechtskraft des vorliegenden Urteils zu leisten.</w:t>
      </w:r>
    </w:p>
    <w:p>
      <w:r>
        <w:rPr>
          <w:b/>
        </w:rPr>
        <w:t>E. 7</w:t>
      </w:r>
    </w:p>
    <w:p>
      <w:r>
        <w:t>Vorliegend hat die Vorinstanz im Rahmen des in Erwägung 6.2 beschriebenen mehrstufigen Verfahrens zwar in einem ersten Schritt die der Beschwerdeführerin zuvor zugesprochene Rente rückwirkend für die Zeiträume vom 10. April 2011 bis zum 20. November 2013, vom 29. August 2015 bis zum 20. November 2016 und ab dem 19. November 2019 aufgehoben. Allerdings hat das Bundesverwaltungsgericht die Beschwerde gegen diese Verfügung mit Urteil vom 29. Juli 2024 im Verfahren C-5240/2023 gutgeheissen und die Verfügung vom 28. August 2023 aufgehoben. Damit entfällt die der Anordnung einer Rückerstattung zugrunde liegende Unrechtmässigkeit des Leistungsbezugs. Entsprechend ist vorliegend die Beschwerde vom 26. Januar 2024 gutzuheissen und die Verfügung vom 22. Dezember 2023 ersatzlos aufzuheben.</w:t>
      </w:r>
    </w:p>
    <w:p>
      <w:r>
        <w:rPr>
          <w:b/>
        </w:rPr>
        <w:t>E. 8</w:t>
      </w:r>
    </w:p>
    <w:p>
      <w:r>
        <w:t>Zu befinden bleibt über die Verfahrenskosten und allfällige Parteientschädigungen.</w:t>
      </w:r>
    </w:p>
    <w:p>
      <w:r>
        <w:rPr>
          <w:b/>
        </w:rPr>
        <w:t>E. 8.1</w:t>
      </w:r>
    </w:p>
    <w:p>
      <w:r>
        <w:t>Das Beschwerdeverfahren ist kostenpflichtig (Art. 69 Abs. 1bis i.V.m. Art. 69 Abs. 2 IVG), wobei die Verfahrenskosten grundsätzlich der unterliegenden Partei auferlegt werden (Art. 63 Abs. 1 VwVG). Der obsiegenden Beschwerdeführerin sind keine Verfahrenskosten aufzuerlegen. Der Vorinstanz sind ebenfalls keine Verfahrenskosten aufzuerlegen (vgl. Art. 63 Abs. 2 VwVG).</w:t>
      </w:r>
    </w:p>
    <w:p>
      <w:r>
        <w:rPr>
          <w:b/>
        </w:rPr>
        <w:t>E. 8.2</w:t>
      </w:r>
    </w:p>
    <w:p>
      <w:r>
        <w:t>Die obsiegende, durch Advokat Nicolai Fullin vertretene Beschwerdeführerin hat gemäss Art. 64 Abs. 1 VwVG in Verbindung mit Art. 7 ff. des Reglements vom 21. Februar 2008 über die Kosten und Entschädigungen vor dem Bundesverwaltungsgericht (VGKE, SR 173.320.2) Anspruch auf eine Parteientschädigung zu Lasten der Verwaltung, womit der subsidiäre Anspruch auf eine Entschädigung aus der mit Zwischenverfügung vom 31. Januar 2024 bewilligten unentgeltlichen Rechtsverbeiständung entfällt (vgl. Kayser/Altmann, Kommentar zum Bundesgesetz über das Verwaltungsverfahren [VwVG], 2. Aufl. 2019, Art. 65 Rz. 82).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1'400.- (inkl. Auslagen, ohne Mehrwertsteuer [vgl. dazu auch Urteil des BVGer C-6173/2009 vom 29. August 2011 m.H.]) gerechtfertigt. Die Parteientschädigung ist von der Vorinstanz nach Eintritt der Rechtskraft des vorliegenden Urteils zu leisten.</w:t>
      </w:r>
    </w:p>
    <w:p>
      <w:r>
        <w:rPr>
          <w:b/>
        </w:rPr>
        <w:t>E. 10</w:t>
      </w:r>
    </w:p>
    <w:p>
      <w:r>
        <w:t>April 2011 bis zum 20. November 2013, vom 29. August 2015 bis zum 20. November 2016 und ab dem 19. November 2019 auf. Diese Verfügung wurde – wie erwähnt (vgl. oben Bst. B.c.c) – ebenfalls beim Bundesverwal- tungsgericht angefochten. Die entsprechende Beschwerde wird im konne- xen Verfahren C-5240/2023 gleichzeitig mit dem vorliegenden Verfahren behandelt. Einer Vereinigung der beiden Verfahren bedarf es demnach nicht, weshalb der diesbezügliche Eventualantrag der Beschwerdeführerin abzuweisen ist. 6. In rechtlicher Hinsicht ist Folgendes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