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C-587/2014 vom 2. Juni 2015</w:t>
      </w:r>
    </w:p>
    <w:p>
      <w:r>
        <w:t>Bundesverwaltungsgericht, 2015-06-02, DE</w:t>
      </w:r>
    </w:p>
    <w:p>
      <w:r>
        <w:rPr>
          <w:b/>
        </w:rPr>
        <w:t xml:space="preserve">Quelle: </w:t>
      </w:r>
      <w:r>
        <w:t>https://mcp.opencaselaw.ch/entscheid/bvger_C-587_2014</w:t>
      </w:r>
    </w:p>
    <w:p>
      <w:r>
        <w:t>FR: TAF C-587/2014 du 2 juin 2015</w:t>
      </w:r>
    </w:p>
    <w:p>
      <w:r>
        <w:t>IT: TAF C-587/2014 del 2 giugno 2015</w:t>
      </w:r>
    </w:p>
    <w:p>
      <w:pPr>
        <w:pStyle w:val="Heading2"/>
      </w:pPr>
      <w:r>
        <w:t>Regeste</w:t>
      </w:r>
    </w:p>
    <w:p>
      <w:r>
        <w:t>Alters- und Hinterlassenenversicherung (Übriges)</w:t>
      </w:r>
    </w:p>
    <w:p>
      <w:pPr>
        <w:pStyle w:val="Heading2"/>
      </w:pPr>
      <w:r>
        <w:t>Erwägungen</w:t>
      </w:r>
    </w:p>
    <w:p>
      <w:r>
        <w:rPr>
          <w:b/>
        </w:rPr>
        <w:t>E. 1</w:t>
      </w:r>
    </w:p>
    <w:p>
      <w:r>
        <w:t>Mit den angefochtenen Verfügungen vom 27. September 2013 und vom 1. Oktober 2013 hat die SAK die Altersrenten der Beschwerdeführenden ab 1. Oktober 2013 plafoniert und die Altersrente des Beschwerdeführers auf Fr. 1'784.- und die der Beschwerdeführerin auf Fr. 1'726.- festgesetzt. Diesbezüglich ist festzustellen, dass grundsätzlich jeder vorinstanzliche Entscheid ein selbstständiges Anfechtungsobjekt bildet. Aufgrund des engen persönlichen und sachlichen Zusammenhangs rechtfertigt es sich vorliegend jedoch, die beiden vereinigten Verfahren aus prozessökonomischen Gründen C-587/2014 und C 588/2014 in einem einzigen Urteil zu erledigen (vgl. BGE 131 V 222 E.1; 123 V 214 E. 1; 128 V 124 E. 1 mit Hinweisen; zur Vereinigung von Verfahren vgl. auch Handbücher für die Anwaltspraxis, Band X, Prozessieren vor dem Bundesverwaltungsgericht, Moser/Beusch/Kneubühler, Basel, 2008, Ziff. 3.17 S. 114).</w:t>
      </w:r>
    </w:p>
    <w:p>
      <w:r>
        <w:rPr>
          <w:b/>
        </w:rPr>
        <w:t>E. 2.1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2.2</w:t>
      </w:r>
    </w:p>
    <w:p>
      <w:r>
        <w:t>Das Verfahren vor dem Bundesverwaltungsgericht richtet sich gemäss Art. 37 des Verwaltungsgerichtsgesetzes vom 17. Juni 2005 (VGG, SR 173.32)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2.3</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2.4</w:t>
      </w:r>
    </w:p>
    <w:p>
      <w:r>
        <w:t>Als Adressaten der angefochtenen Einspracheentscheide vom 20. Dezember 2013 sind die Beschwerdeführenden ohne Zweifel beschwerdelegitimiert (Art. 59 ATSG, vgl. auch Art. 48 Abs. 1 VwVG). Auf die frist- und formgerecht eingereichten Beschwerden ist - da sämtliche Prozessvoraussetzungen erfüllt sind - einzutreten (Art. 60 ATSG; vgl. auch Art. 20 Abs. 1 und 3 sowie Art. 50 und Art. 52 VwVG).</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3.3</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3.4</w:t>
      </w:r>
    </w:p>
    <w:p>
      <w:r>
        <w:t>Das Sozialversicherungsgericht beurteilt die Gesetzmässigkeit des angefochtenen Einspracheentscheides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3.5</w:t>
      </w:r>
    </w:p>
    <w:p>
      <w:r>
        <w:t>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3.6</w:t>
      </w:r>
    </w:p>
    <w:p>
      <w:r>
        <w:t>Die Beschwerdeführerin besitzt neben der ungarischen auch die schweizerische Staatsbürgerschaft. Der Beschwerdeführer hat ebenfalls die schweizerische Staatsangehörigkeit inne. Die Berechnung der ordentlichen Altersrenten richtet sich in materiell- und verfahrensrechtlicher Hinsicht nach Schweizerischem Recht. Somit kommen vorliegend die im September 2013 gültigen Bestimmungen zur Anwendung, insbesondere diejenigen des AHVG und der RV-AHV.</w:t>
      </w:r>
    </w:p>
    <w:p>
      <w:r>
        <w:rPr>
          <w:b/>
        </w:rPr>
        <w:t>E. 4</w:t>
      </w:r>
    </w:p>
    <w:p>
      <w:r>
        <w:t>Vorliegend ist strittig und vom Bundesverwaltungsgericht zu prüfen, ob die Vorinstanz die Plafonierung der Altersrenten der Beschwerdeführenden zu Recht vorgenommen hat.</w:t>
      </w:r>
    </w:p>
    <w:p>
      <w:r>
        <w:rPr>
          <w:b/>
        </w:rPr>
        <w:t>E. 5.1</w:t>
      </w:r>
    </w:p>
    <w:p>
      <w:r>
        <w:t>Gemäss Art. 35 Abs. 1 AHVG beträgt die Summe der beiden Renten eines Ehepaares maximal 150 Prozent des Höchstbetrages der Altersrente, wenn beide Ehegatten Anspruch auf eine Altersrente haben (lit. a) oder ein Ehegatte Anspruch auf eine Altersrente und der andere Anspruch auf eine Rente der Invalidenversicherung hat (lit. b). Abs. 2 dieses Artikels besagt, dass die Kürzung bei Ehepaaren entfällt, deren gemeinsamer Haushalt richterlich aufgehoben wurde.</w:t>
      </w:r>
    </w:p>
    <w:p>
      <w:r>
        <w:rPr>
          <w:b/>
        </w:rPr>
        <w:t>E. 5.2</w:t>
      </w:r>
    </w:p>
    <w:p>
      <w:r>
        <w:t>Gemäss der Wegleitung über die Renten (RWL) in der Eidgenössischen Alters-, Hinterlassenen- und Invalidenversicherung (gültig ab 1. Januar 2003, Stand 1. Januar 2013) unterliegen bei Ehegatten, deren gemeinsamer Haushalt richterlich aufgehoben, die Ehe jedoch noch nicht geschieden wurde, die beiden Einzelrenten nicht der Plafonierung (Rz. 5510). Der gemeinsame Haushalt der Ehegatten gilt als aufgehoben, wenn im Scheidungs- oder Trennungsverfahren die Trennung vom Richter festgestellt oder wenn im Eheschutzverfahren die Ehe durch richterliche Feststellung oder Verfügung vorübergehend oder auf unbestimmte Zeit getrennt wurde. Leben die Ehegatten trotzdem weiterhin oder wieder in Hausgemeinschaft, so sind die Renten zu plafonieren (Rz. 5511). Die gerichtliche Trennung kann von den Ehegatten jederzeit durch eine entsprechende ausdrückliche oder konkludente Vereinbarung (z.B. durch Wiederaufnahme des Zusammenlebens) aufgehoben werden (Daniel Steck, in Basler Kommentar, Zivilgesetzbuch I, Art. 1 - 456, 5. Aufl. 2014, Art. 117/118, Rz. 7).</w:t>
      </w:r>
    </w:p>
    <w:p>
      <w:r>
        <w:rPr>
          <w:b/>
        </w:rPr>
        <w:t>E. 5.3</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5.4</w:t>
      </w:r>
    </w:p>
    <w:p>
      <w:r>
        <w:t>Gemäss Art. 1 Abs. 2 lit. a i.V.m. Art. 3 Abs. 1 der Verordnung über die vernetzte Verwaltung der Auslandschweizerinnen und Auslandschweizer vom 7. Juni 2004 (VERA-Verordnung, SR 235.22) werden im VERA-Register Daten wie Adressdaten von Auslandschweizerinnen und Auslandschweizern, deren Ehepartnern und Ehepartnerinnen sowie ihren Kindern verarbeitet. Jede Person kann verlangen, dass unrichtige Daten über sie berichtigt werden (Art. 8 VERA-Verordnung).</w:t>
      </w:r>
    </w:p>
    <w:p>
      <w:r>
        <w:rPr>
          <w:b/>
        </w:rPr>
        <w:t>E. 5.5</w:t>
      </w:r>
    </w:p>
    <w:p>
      <w:r>
        <w:t>Die Vorinstanz plafonierte die Altersrenten der Beschwerdeführenden mit Verfügungen vom 27. September 2013 und vom 1. Oktober 2013 in Anwendung der vom Bundesamt für Sozialversicherungen erlassenen Wegleitung über die Renten (Rz. 5511). Das Eidgenössische Versicherungsgericht (heute: Bundesgericht) erachtete diese bundesamtliche Konkretisierung von Art. 35 AHVG als rechtmässig (Urteil des Eidgenössischen Versicherungsgerichts I 399/02 vom 30. April 2003, E. 1). Das wird von den Parteien auch nicht bestritten. Es bleibt somit zu prüfen, ob die Beschwerdeführenden zum Zeitpunkt der Plafonierung der Altersrente in einer Hausgemeinschaft gelebt oder diese wieder aufgenommen haben, obwohl deren Ehe mit Urteil des Bezirksgerichts A._______ vom (...) 2010 auf unbestimmte Zeit getrennt worden war.</w:t>
      </w:r>
    </w:p>
    <w:p>
      <w:r>
        <w:rPr>
          <w:b/>
        </w:rPr>
        <w:t>E. 5.5.1</w:t>
      </w:r>
    </w:p>
    <w:p>
      <w:r>
        <w:t>Um zu belegen, dass ihr gemeinsamer Haushalt aufgehoben ist, verweisen die Beschwerdeführenden auf die von der Beschwerdeführerin am 20. April 2013 eingereichte Rentenanmeldung (SAK-act. 3 [C-587/2013]). Unter Ziff. 1.4 hatte sie angegeben, an der Adresse Fa._______ wohnhaft zu sein, während die Adresse des Ehemannes auf Fb._______ lautet (Ziff. 2.4). Replicando wurde ausgeführt, bei der Liegenschaft an der F._______ handle es sich um ein Mehrparteienhaus, in welchem die Beschwerdeführenden zwei unabhängigen Wohneinheiten bewohnt hätten. Zur Veranschaulichung der Wohnverhältnisse legten sie einen Auszug der Telefonbucheinträge für die Lentulusstrasse 28 in Bern bei (act. 11, Beilage 8). Daraus ist ersichtlich, dass an der genannten Strasse in Bern fünf Telefonbucheinträge aufgeführt sind. Die Beschwerdeführenden machen sinngemäss geltend, dass die Bewohner an der Lentulusstrasse 28 in Bern wohl die gleiche Adressanschrift hätten, jedoch nicht in einem gemeinsamen Haushalt leben würden; ebenso verhalte es sich mit ihren Wohnverhältnissen in C._______. Die Vorinstanz beruft sich hingegen auf den Auszug des VERA Registers vom 20. Dezember 2013 (SAK-act. 20 [C-587/2013]). Gemäss diesem Auszug wohnten die Beschwerdeführenden im Zeitpunkt der Einsichtnahme in das VERA-Register (20. Dezember 2013) an derselben Adresse, nämlich Fa._______. Dem Registereintrag kommt erhöhte Beweiskraft zu, dessen Unrichtigkeit die Beschwerdeführenden nicht nachweisen können. Ihre eingereichten Dokumente (Anmeldung zur Altersrente sowie Auszug der Telefonbucheinträge für die Lentulusstrasse 28 in Bern) sind nicht geeignet, die Unrichtigkeit des VERA-Auszugs bezüglich der Wohnadresse in Frage zu stellen. Zudem wurde weder geltend gemacht, der Eintrag im VERA-Register sei unrichtig, noch wurde jemals dessen Berichtigung verlangt. Bei der Berechnung der Altersrente hat die Vorinstanz sich zu Recht auf die Angaben des VERA-Auszugs abgestellt und eine gemeinsame Adresse der Beschwerdeführenden angenommen.</w:t>
      </w:r>
    </w:p>
    <w:p>
      <w:r>
        <w:rPr>
          <w:b/>
        </w:rPr>
        <w:t>E. 5.5.2</w:t>
      </w:r>
    </w:p>
    <w:p>
      <w:r>
        <w:t>Die Vorinstanz gibt in ihrer Duplik an, die Altersrente des Beschwerdeführers werde auf das gemeinsames Konto bei der G._______ AG in H._______, lautend auf die Namen "Y._______ und X._______", einbezahlt. Die gemeinsame Zugriffsberechtigung der Ehegatten auf dieses Konto sei ein weiteres Indiz dafür, dass sie nicht getrennte Wege gingen. Die Beschwerdeführenden äussern sich dahingehend, dass das Konto wohl die Rubrik " Y._______ und X._______" aufweise, dies aber unerheblich sei. Der Beschwerdeführer habe das Konto nach der Trennung übernommen, die Rubrik jedoch nicht geändert. Eine Zugriffsberechtigung der Ehefrau oder die Führung eines gemeinsamen Haushalts könne daraus nicht abgeleitet werden. Es liegen aber keine Unterlagen bei, die eine alleinige Zugriffsberechtigung des Beschwerdeführers auf das Konto bei der G._______ AG belegen würde. Sie vermögen somit ihre Aussage, dass zwischen ihnen keine wirtschaftliche Gemeinschaft mehr bestehe bzw. der gemeinsame Haushalt aufgehoben sei, nicht beweisen.</w:t>
      </w:r>
    </w:p>
    <w:p>
      <w:r>
        <w:rPr>
          <w:b/>
        </w:rPr>
        <w:t>E. 5.6</w:t>
      </w:r>
    </w:p>
    <w:p>
      <w:r>
        <w:t>Nach dem Dargelegten ist zusammenfassend festzustellen, dass die Beschwerdeführenden die Führung eines unabhängigen Haushalts nicht belegen können. Sie machen aufgrund ihrer eigenen Angaben in der Rentenanmeldung geltend, es liege keine Hausgemeinschaft vor. Dies ist jedoch als reine Parteibehauptung zu qualifizieren und nicht als Beweis geeignet. Zusätzliches Beweismaterial, welches die Trennung des gemeinsamen Haushalts belegen würde - wie etwa Mietverträge für die Wohnungen an der Adresse Fb.________ und Fa._______ - werden nicht beigebracht. Der von ihnen geltend gemachte Sachverhalt, nämlich dass die Beschwerdeführenden eigenständig sind und einen unabhängigen Haushalt führen, bleibt somit unbewiesen. Das Bundesverwaltungsgericht erachtet es mit an Sicherheit grenzender Wahrscheinlichkeit als erwiesen, dass zumindest zum Zeitpunkt des Erlasses betreffend Rentenplafonierung die Beschwerdeführenden tatsächlich in einer Hausgemeinschaft gelebt haben. In Anbetracht der vorstehenden Ausführungen besteht zudem kein unmittelbarer Anlass, das Verhalten der Beschwerdeführenden zusätzlich noch unter dem Gesichtspunkt von Art. 2 ZGB zu würdigen.</w:t>
      </w:r>
    </w:p>
    <w:p>
      <w:r>
        <w:rPr>
          <w:b/>
        </w:rPr>
        <w:t>E. 6.1</w:t>
      </w:r>
    </w:p>
    <w:p>
      <w:r>
        <w:t>Zur Untermauerung ihres Standpunktes, dass weder eine tatsächliche noch eine faktische Hausgemeinschaft zwischen den Eheleuten besteht, bringen die Beschwerdeführenden mit Verweis auf ihre eingereichten Unterlagen (Kopie des Personalausweises sowie Bestätigung der Kommunalbehörde in I._______) vor, dass die Beschwerdeführerin per 31. Januar 2014 in den 20 km entfernten Ort E._______ umgezogen sei. Die Vorinstanz führt dazu in ihrer Replik aus, dass die Unterlagen nicht geeignet seien, die Aufhebung der Hausgemeinschaft zu beweisen. Aufgrund dieser Unterlagen könne nicht nachgewiesen werden, dass die Beschwerdeführenden tatsächlich an den jeweiligen Orten leben. Es sei ohne weiteres möglich, die Anschrift von Freunden zu benutzen bzw. eine Briefkastenadresse anzugeben.</w:t>
      </w:r>
    </w:p>
    <w:p>
      <w:r>
        <w:rPr>
          <w:b/>
        </w:rPr>
        <w:t>E. 6.2</w:t>
      </w:r>
    </w:p>
    <w:p>
      <w:r>
        <w:t>Sowohl auf der Kopie des Personalausweises, ausgestellt am 31. Januar 2014 (act. 1, Beilage 6), als auch auf der von der Kommunalbehörde in I._______ ausgestellten Bescheinigung vom 8. Mai 2014 (act. 11, Beilage 10) geht als Wohnort der Beschwerdeführerin der Ort E._______ hervor. Die Beschwerdeführenden verweisen zudem zur Bestätigung der neuen Adresse in E._______ auf das Schreiben betreffend Adressänderung des Departementes für Finanzen und Institutionen des Kantons J._______ (act. 11, Beilage 9). Dieses Schreiben ist undatiert; das dazugehörige Couvert ist nicht in den Akten. Gemäss den Angaben der Beschwerdeführenden und den beigebrachten Unterlagen ist erstellt, dass der Wohnsitzwechsel im Januar 2014, während des Beschwerdeverfahrens erfolgt ist. Die Vorinstanz hat mit Verfügungen vom 27. September bzw. 1. Ok­to­ber 2013 die Plafonierung der Altersrente gestützt auf die Angaben der Beschwerdeführerin anlässlich der Rentenanmeldung und den der Rentenanmeldung zugrunde liegenden Unterlagen (SAK-act. 15, 16 und 20 [C-587/2013]) vorgenommen. Die dagegen erhobenen Einsprachen wurden mit Verfügungen vom 20. De­zember 2013 abgewiesen. Der zeitlich massgebende Sachverhalt beschränkt sich vorliegend somit auf den Zeitpunkt des Erlasses der Verfügungen betreffend Rentenplafonierung resp. der Einspracheentscheide. Das Bundesverwaltungsgericht beurteilt deshalb die Gesetzmässigkeit der angefochtenen Einspracheentscheide vom 20. De­zember 2013 nach dem Sachverhalt, der zu diesem Zeitpunkt gegeben war (E. 4.4).</w:t>
      </w:r>
    </w:p>
    <w:p>
      <w:r>
        <w:rPr>
          <w:b/>
        </w:rPr>
        <w:t>E. 6.3</w:t>
      </w:r>
    </w:p>
    <w:p>
      <w:r>
        <w:t>Der Wohnortswechsel der Beschwerdeführerin von C._______ nach E._______ ist nach Erlass der angefochtenen Verfügung erfolgt. Ob die Hausgemeinschaft tatsächlich aufgegeben wurde, ist nicht hinreichend genau belegt; die verfügbaren Akten lassen die nötige Klarheit vermissen, um gestützt darauf über die Aufhebung der Rentenplafonierung zu befinden. Vorliegend kann dieser neu eingetretene Sachverhalt nicht in die richterliche Beurteilung miteinbezogen und der das Prozessthema bildenden Streitgegenstand in zeitlicher Hinsicht nicht ausgedehnt werden. Ob die Voraussetzungen für die Aufhebung der Plafonierung der Altersrenten aufgrund des Wohnsitzwechsels der Beschwerdeführerin per 31. Januar 2014 gegeben sind, ist durch die Vorinstanz ab jenem Zeitpunkt zu befinden.</w:t>
      </w:r>
    </w:p>
    <w:p>
      <w:r>
        <w:rPr>
          <w:b/>
        </w:rPr>
        <w:t>E. 7.1</w:t>
      </w:r>
    </w:p>
    <w:p>
      <w:r>
        <w:t>Die Beschwerdeführenden führen beschwerdeweise weiter aus, in den ursprünglichen Rentenverfügungen beständen Abweichungen hinsichtlich des Ehegattensplittings der Beitragsjahre vor dem Jahr 1972. Dies sei nicht nachvollziehbar.</w:t>
      </w:r>
    </w:p>
    <w:p>
      <w:r>
        <w:rPr>
          <w:b/>
        </w:rPr>
        <w:t>E. 7.2</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7.3</w:t>
      </w:r>
    </w:p>
    <w:p>
      <w:r>
        <w:t>Die Beschwerdeführenden heirateten 1971 (SAK-act. 4, Seite 2 [C-588/2013]). Gemäss der Verfügungen vom 27. September bzw. 1. Oktober 2013 nahm die Vorinstanz die Teilung des Einkommens ab dem Jahr 1972 durch. Da Einkommen der Jahre vor der Eheschliessung - vorliegend die Jahre von 1965 bis 1971 - nicht geteilt werden, ist das Vorgehen der Vorinstanz betreffend Einkommenssplitting nicht zu beanstanden. Die Beschwerde erweist sich auch in diesem Punkt als unbegründet und ist abzuweisen.</w:t>
      </w:r>
    </w:p>
    <w:p>
      <w:r>
        <w:rPr>
          <w:b/>
        </w:rPr>
        <w:t>E. 8</w:t>
      </w:r>
    </w:p>
    <w:p>
      <w:r>
        <w:t>Aufgrund der vorstehenden Erwägungen ist zusammenfassend festzuhalten, dass die Vorinstanz die Plafonierung der Altersrente zu Recht vorgenommen hat. Zudem hat sie richtigerweise die Einkommensteilung erst ab dem Jahr 1972 durchgeführt. Die Einspracheentscheide vom 20. De­zember 2013 erweisen sich somit als rechtens, weshalb die dagegen erhobenen Beschwerden vom 3. Februar 2013 abzuweisen sind.</w:t>
      </w:r>
    </w:p>
    <w:p>
      <w:r>
        <w:rPr>
          <w:b/>
        </w:rPr>
        <w:t>E. 9</w:t>
      </w:r>
    </w:p>
    <w:p>
      <w:r>
        <w:t>Zu befinden bleibt noch über die Verfahrenskosten und eine allfällige Parteientschädigung.</w:t>
      </w:r>
    </w:p>
    <w:p>
      <w:r>
        <w:rPr>
          <w:b/>
        </w:rPr>
        <w:t>E. 9.1</w:t>
      </w:r>
    </w:p>
    <w:p>
      <w:r>
        <w:t>Das Beschwerdeverfahren ist für die Parteien kostenlos (Art. 85bis Abs. 2 AHVG), sodass keine Verfahrenskosten zu erheben sind.</w:t>
      </w:r>
    </w:p>
    <w:p>
      <w:r>
        <w:rPr>
          <w:b/>
        </w:rPr>
        <w:t>E. 9.2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Die unterliegenden Beschwerdeführenden haben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