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C-5868/2023 vom 10. Oktober 2023</w:t>
      </w:r>
    </w:p>
    <w:p>
      <w:r>
        <w:t>Bundesverwaltungsgericht, 2023-10-10, DE</w:t>
      </w:r>
    </w:p>
    <w:p>
      <w:r>
        <w:rPr>
          <w:b/>
        </w:rPr>
        <w:t xml:space="preserve">Quelle: </w:t>
      </w:r>
      <w:r>
        <w:t>https://mcp.opencaselaw.ch/entscheid/bvger_C-5868_2023_d20231010</w:t>
      </w:r>
    </w:p>
    <w:p>
      <w:r>
        <w:t>FR: TAF C-5868/2023 du 10 octobre 2023</w:t>
      </w:r>
    </w:p>
    <w:p>
      <w:r>
        <w:t>IT: TAF C-5868/2023 del 10 ottobre 2023</w:t>
      </w:r>
    </w:p>
    <w:p>
      <w:pPr>
        <w:pStyle w:val="Heading2"/>
      </w:pPr>
      <w:r>
        <w:t>Regeste</w:t>
      </w:r>
    </w:p>
    <w:p>
      <w:r>
        <w:t>Freiwillige Versicherung | Alters- und Hinterlassenenversicherung (AHV), freiwillige Versicherung, Beiträge, Einspracheentscheid der SAK vom 10. Oktober 2023</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