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C-5867/2014 vom 13. Oktober 2015</w:t>
      </w:r>
    </w:p>
    <w:p>
      <w:r>
        <w:t>Bundesverwaltungsgericht, 2015-10-13, DE</w:t>
      </w:r>
    </w:p>
    <w:p>
      <w:r>
        <w:rPr>
          <w:b/>
        </w:rPr>
        <w:t xml:space="preserve">Quelle: </w:t>
      </w:r>
      <w:r>
        <w:t>https://mcp.opencaselaw.ch/entscheid/bvger_C-5867_2014</w:t>
      </w:r>
    </w:p>
    <w:p>
      <w:r>
        <w:t>FR: TAF C-5867/2014 du 13 octobre 2015</w:t>
      </w:r>
    </w:p>
    <w:p>
      <w:r>
        <w:t>IT: TAF C-5867/2014 del 13 ottobre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BFM bzw.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Staatsangehörigen aus Myanmar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5 Abs. 1 SGK ist die Frage der gesicherten Wiederausreise zentral.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5.3.1</w:t>
      </w:r>
    </w:p>
    <w:p>
      <w:r>
        <w:t>Die Gesuchstellerin lebte zwar im Zeitpunkt des Visumsantrags in Thailand, sie ist aber - wie erwähnt - Staatsangehörige von Myanmar. Obwohl dieser Staat reich an Ressourcen (grosse Erdgasvorräte, Hölzer, Kupfer, Edelsteine und andere Rohstoffe sowie grosse Wasserkraftreserven und umfangreiche landwirtschaftliche Nutzflächen) ist und sein wirtschaftliches Potenzial als enorm eingeschätzt wird, leidet die Wirtschaft immer noch unter erheblichen strukturellen Defiziten und wird von einem wenig produktiven Agrarsektor dominiert. Die allgemeine Infrastruktur (z.B. Verkehrsverbindungen, Energieversorgung und Telekommunikation) ist insbesondere ausserhalb der Städte unterentwickelt und stellt daher ein massives Investitionshindernis dar. In Myanmar ist Armut weit verbreitet. Etwa ein Drittel der Bevölkerung lebt unter der absoluten Armutsgrenze. Besonders gravierend ist die Situation in den schwer zugänglichen Siedlungsgebieten in den Grenzregionen sowie in der zentralen Trockenzone. 60,8 % der arbeitenden Bevölkerung sind sogenannte working poor; sie verdienen mit ihrer Arbeit weniger als zwei USD pro Tag. Der Anteil der Unterbeschäftigten wird auf mindestens einen Drittel der arbeitenden Bevölkerung geschätzt, und über die Zahl der Arbeitslosen kann keine Angabe gemacht werden, weil diese von der Regierung nicht ermittelt wird. Die schlechte sozioökonomische Situation führt zu einer Abwanderung von Arbeitskräften ins Ausland (Quellen: Deutsches Auswärtiges Amt http://www.auswaertiges-amt.de &gt; Aussen- und Europapolitik &gt; Länderinformationen &gt; Myanmar &gt; Wirtschaftspolitik, Stand: Mai 2015; Human Development Report 2014 &lt; http://hdr.undp.org/en &gt; countries &gt; Auswahl Myanmar &gt; Employment_and_Vulnerability, beide Seiten besucht im September 2015).</w:t>
      </w:r>
    </w:p>
    <w:p>
      <w:r>
        <w:rPr>
          <w:b/>
        </w:rPr>
        <w:t>E. 5.3.2</w:t>
      </w:r>
    </w:p>
    <w:p>
      <w:r>
        <w:t>Vor dem Hintergrund der dargelegten wirtschaftlichen Lage und der daraus resultierenden Abwanderung aus Myanmar ist nicht zu beanstanden, dass die Vorinstanz das Risiko einer nicht fristgerechten Wiederausreise von Besucherinnen und Besuchern aus dem betreffenden Staat allgemein als hoch einschätzt.</w:t>
      </w:r>
    </w:p>
    <w:p>
      <w:r>
        <w:rPr>
          <w:b/>
        </w:rPr>
        <w:t>E. 5.4</w:t>
      </w:r>
    </w:p>
    <w:p>
      <w:r>
        <w:t>Bei der Risikoanalyse sind jedoch nicht nur die allgemeinen Umstände und Erfahrungen, sondern auch sämtliche Gesichtspunkte des konkreten Einzelfalles zu berücksichtigen.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6.1</w:t>
      </w:r>
    </w:p>
    <w:p>
      <w:r>
        <w:t>Bei der Gesuchstellerin handelt es sich um eine 23-jährige, ledige und kinderlose junge Frau aus Myanmar. Über ihre verwandtschaftlichen Verhältnisse ist nur gerade bekannt, dass in ihrer Heimat in der Nähe zur thailändischen Grenze noch jüngere Geschwister zusammen mit den Grosseltern leben. Daraus zu schliessen dürfte ein gewisser Bezug zu ihrer Herkunftsregion noch bestehen. Andererseits hielt sich die Gesuchstellerin vor ihrer Einlassung mit dem Beschwerdeführer offenbar schon längere Zeit nicht mehr in Myanmar, sondern in Thailand auf und ging dort einer Erwerbstätigkeit als Schneiderin nach; dies alles ohne entsprechende ausländerrechtliche Regelung.</w:t>
      </w:r>
    </w:p>
    <w:p>
      <w:r>
        <w:rPr>
          <w:b/>
        </w:rPr>
        <w:t>E. 6.2</w:t>
      </w:r>
    </w:p>
    <w:p>
      <w:r>
        <w:t>Die Gesuchstellerin stammt offensichtlich aus eher ärmlichen Verhältnissen. Inzwischen steht sie wirtschaftlich gesehen in einem Abhängigkeitsverhältnis zum Beschwerdeführer. Ihr Aufenthalt in Thailand ist oder war - aus entsprechenden Einträgen in den vom Beschwerdeführer edierten Kopien ihres Reisepasses zu schliessen - bis anfangs März 2014 geregelt; offenbar zu Studienzwecken. Wie es sich damit seither verhält, ergibt sich aus den Akten nicht. In seiner letzten Eingabe vom 15. Juli 2015 deutete der Beschwerdeführer lediglich an, dass das Bewilligungsregime für Aufenthalte wie denjenigen der Gesuchstellerin in Thailand in der Zwischenzeit geändert habe und er sich über die aktuelle Regelung selbst nicht ganz im Klaren sei. Es kann unter diesen Umständen nicht ohne Weiteres davon ausgegangen werden, dass der Aufenthalt der Gesuchstellerin in Thailand nach wie vor und auf längere Zeit hinaus gesichert ist. Ebenso wenig kann angenommen werden, die Gesuchstellerin könnte nach einem mehrmonatigen Auslandaufenthalt ohne Weiteres nach Thailand zurückkehren.</w:t>
      </w:r>
    </w:p>
    <w:p>
      <w:r>
        <w:rPr>
          <w:b/>
        </w:rPr>
        <w:t>E. 6.3</w:t>
      </w:r>
    </w:p>
    <w:p>
      <w:r>
        <w:t>Der Beschwerdeführer bezeichnet die Gesuchstellerin als seine Partnerin, mit der er seit dem Jahr 2013 zusammenlebt und die er seinen Verwandten in der Schweiz vorstellen möchte. Zudem macht er unter Verweis auf ärztliche Dokumente geltend, aus gesundheitlichen Gründen auf ihren Beistand angewiesen zu sein. Zwischen den Beiden besteht ein Altersunterschied von 42 Jahren. Kommt hinzu, dass sie gemäss den Ausführungen der Schweizerischen Vertretung in Bangkok in einer Notiz vom 31. Juli 2014 im damaligen Zeitpunkt keine gemeinsame Sprache beherrschten. Ob sich daran in der Zwischenzeit mit den von der Gesuchstellerin besuchten thailändischen Sprachkursen etwas geändert hat, lässt sich anhand der vorhandenen Akten nicht beurteilen. Tatsache ist, dass unter den gegebenen Umständen nicht von einer gefestigten und ausgeglichenen partnerschaftlichen Beziehung im eigentlichen Sinne ausgegangen werden kann. Das Verhältnis mag für die junge Gesuchstellerin momentan stimmen, wie sie sich aber - einmal im Schengen-Raum angekommen - verhalten würde bzw. welche mittel- und langfristigen Lebensziele sie verfolgt, lässt sich nicht erahnen.</w:t>
      </w:r>
    </w:p>
    <w:p>
      <w:r>
        <w:rPr>
          <w:b/>
        </w:rPr>
        <w:t>E. 6.4</w:t>
      </w:r>
    </w:p>
    <w:p>
      <w:r>
        <w:t>Vor dem vorstehend dargelegten allgemeinen und persönlichen Hintergrund durfte die Vorinstanz davon ausgehen, dass keine hinreichende Gewähr für eine fristgerechte und anstandslose Wiederausreise der Gesuchstellerin nach einem Besuchsaufenthalt besteht. An dieser Beurteilung ändert die Tatsache nichts, dass der Beschwerdeführer die rechtzeitige Rückkehr der Gesuchstellerin zugesichert hat. In seiner Eigenschaft als Gastgeber kann er zwar für gewisse finanzielle Risiken (Lebensunterhaltskosten während des Besuchsaufenthalts, allfällige Kosten für Unfall und Krankheit sowie Rückreisekosten) Garantie leisten, nicht aber - mangels rechtlicher und faktischer Durchsetzbarkeit - für ein bestimmtes Verhalten seines Gastes (vgl. BVGE 2009/27 E. 9).</w:t>
      </w:r>
    </w:p>
    <w:p>
      <w:r>
        <w:rPr>
          <w:b/>
        </w:rPr>
        <w:t>E. 6.5</w:t>
      </w:r>
    </w:p>
    <w:p>
      <w:r>
        <w:t>Gründe für die Ausstellung eines Visums mit räumlich beschränkter Gültigkeit (vgl. E. 4.5 vorstehend) sind nicht ersichtlich. Zwar macht der Beschwerdeführer geltend, für ärztliche Kontrollen regelmässig einmal jährlich in die Schweiz einreisen zu müssen und bei diesen Reisen wegen seiner gesundheitlichen Beschwerden auf eine Begleitung angewiesen zu sein. Dabei fällt allerdings auf, dass dieser Aspekt vom Beschwerdeführer anfänglich überhaupt nicht erwähnt und später in seinen Eingaben mehr und mehr betont wurde, ohne dass die edierten ärztlichen Belege entsprechende Ausführungen enthielten. Im Gegenteil: Die eingereichten Arztberichte stammen offensichtlich aus dem Jahre 2008 und das vom Schweizerischen Epilepsie-Zentrum in Zürich am 26. September 2014 ausgestellte jährliche Dauerrezept lässt - nicht zuletzt aufgrund dessen Adressierung an den Beschwerdeführer in der Schweiz - die Vermutung zu, dieser sei in der Zwischenzeit ohne die Gesuchstellerin in die Schweiz gereist. Alles in allem kann nicht davon ausgegangen werden, eine Begleitung des Beschwerdeführers zu ärztlichen Kontrollen in der Schweiz sei aus medizinischen Gründen zwingend erforderlich und könne nur durch die Gesuchstellerin wahrgenommen werden.</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Art. 1, 2 und 3 Bst. b des Reglements vom 21. Februar 2008 über die Kosten und Entschädigungen vor dem Bundesverwaltungsgericht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