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C-585/2015 vom 26. November 2015</w:t>
      </w:r>
    </w:p>
    <w:p>
      <w:r>
        <w:t>Bundesverwaltungsgericht, 2015-11-26, FR</w:t>
      </w:r>
    </w:p>
    <w:p>
      <w:r>
        <w:rPr>
          <w:b/>
        </w:rPr>
        <w:t xml:space="preserve">Quelle: </w:t>
      </w:r>
      <w:r>
        <w:t>https://mcp.opencaselaw.ch/entscheid/bvger_C-585_2015</w:t>
      </w:r>
    </w:p>
    <w:p>
      <w:r>
        <w:t>FR: TAF C-585/2015 du 26 novembre 2015</w:t>
      </w:r>
    </w:p>
    <w:p>
      <w:r>
        <w:t>IT: TAF C-585/2015 del 26 novembre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w:t>
      </w:r>
    </w:p>
    <w:p>
      <w:r>
        <w:rPr>
          <w:b/>
        </w:rPr>
        <w:t>E. 3</w:t>
      </w:r>
    </w:p>
    <w:p>
      <w:r>
        <w:t>Dans son pourvoi du 28 janvier 2015, le recourant a d'abord fait valoir une violation de son droit d'être entendu, au motif que l'autorité inférieure ne lui avait pas indiqué, avant le prononcé de sa décision, les motifs sur lesquels elle entendait fonder son refus d'approbation à la prolongation de son autorisation de séjour.</w:t>
      </w:r>
    </w:p>
    <w:p>
      <w:r>
        <w:rPr>
          <w:b/>
        </w:rPr>
        <w:t>E. 3.1</w:t>
      </w:r>
    </w:p>
    <w:p>
      <w:r>
        <w:t>Le droit d'être entendu, inscrit à l'art. 29 al. 2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Müller/Schindler [éd.], Kommentar zum Bundesgesetz über das Verwaltungsverfahren [VwVG], 2008, n° 16 ad art. 29 PA, et Moser/Beusch/Kneubühler, op.cit., n°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 cf. également Moser/Beusch/Kneubühler, op. cit. n° 3.112, et les références citées).</w:t>
      </w:r>
    </w:p>
    <w:p>
      <w:r>
        <w:rPr>
          <w:b/>
        </w:rPr>
        <w:t>E. 3.2</w:t>
      </w:r>
    </w:p>
    <w:p>
      <w:r>
        <w:t>Le Tribunal rappelle à ce propos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(cf. notamment THIERRY TANQUEREL, Manuel de droit administratif, 2011, n° 1529 et WALDMANN/BICKEL, in: Waldmann/Weissenberger [éd.], Praxiskommentar VwVG, 2009, n° 19-21 ad art. 30). En conséquence, l'autorité inférieure n'était pas tenue d'attirer l'attention du recourant sur l'argumentation juridique future de la décision (cf. également l'arrêt du Tribunal administratif fédéral C-2033/2013 consid. 3.2 du 5 juin 2014 consid. 3.2 et références citées). Le Tribunal observe au surplus que, dans son courrier du 3 octobre 2014, l'autorité intimée avait expressément invité le requérant à fournir des informations et à produire toutes pièces utiles, d'une part, au sujet des relations qu'il entretenait avec ses enfants, d'autre part, sur sa situation financière et professionnelle en Suisse, si bien que celui-ci avait eu connaissance des éléments principaux sur lesquels le SEM allait fonder son appréciation pour le prononcé de sa décision. En considération de ce qui précède, le grief formel tiré d'une violation du droit d'être entendu doit être écarté.</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au recourant en application de l'art. 85 de l'ordonnance du 24 octobre 2007 relative à l'admission, au séjour et à l'exercice d'une activité lucrative (OASA, RS 142.201), autant dans son ancienne teneur (cf. à ce sujet : ATF 141 II 169 consid. 4) que dans celle en vigueur depuis le 1er septembre 2015. 5.L'étranger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6.En l'espèce, il convient en premier lieu d'examiner si le recourant peut déduire un droit de séjour en Suisse de l'art. 8 CEDH, en raison des relations qu'il déclare entretenir avec ses enfants D._______ et E_______, issus de son union avec C._______. 6.1 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 6.2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6.3 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2.1 et les arrêts cités; cf. également l'arrêt du TF 2C_318/2013 précité ibid.). 6.4 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connu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à savoir durant un weekend toutes les deux semaines et durant la moitié des vacances (cf. ATF 139 I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cf. également arrêt du TF 2C_318/2013 précité consid. 3.3.2 in fine). 6.5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 395/2012 du 9 juillet 2012 consid. 5.1 in fine et 2C 325/2010 du 11 octobre 2010 consid. 5.2.3). 6.6 Dans le cas d'espèce, le Tribunal constate que les enfants du recourant résident avec leur mère en Corse et que, nonobstant les allégations selon lesquelles son épouse reviendrait prochainement s'établir à nouveau en Suisse, les intéressés n'ont, en l'état du dossier, pas repris domicile dans ce pays. Dans ces circonstances et bien que le droit de visite du recourant sur ses enfants (initialement limité à deux fois six heures par mois par l'ordonnance de mesures protectrices de l'union conjugale rendue le 7 novembre 2013 par le Président du Tribunal civil de l'arrondissement de Lausanne) ait été ultérieurement élargi (cf. les modifications apportées aux modalités de ce droit de visite les 7 mars et 11 juillet 2014, selon les indications fournies par le recourant dans son écrit du 19 août 2014 au SPOP), le Tribunal doit constater que A._______ ne dispose pas, en l'état, d'un droit de visite usuel selon les standards actuels, à savoir durant un weekend toutes les deux semaines et durant la moitié des vacances (cf. ATF 139 I précité consid. 2.5). Dans ces conditions, A._______ ne peut être considéré comme entretenant un lien affectif particulièrement fort avec ses enfants qui lui permettrait, en vertu de l'art. 8 par. 1 CEDH, de prétendre à la délivrance d'une autorisation de séjour à ce titre. Il appert au demeurant que le recourant ne remplit pas les autres conditions relatives à l'application de la disposition conventionnelle précitée au sens de la jurisprudence rappelée au considérant 6.4 in fine, dès lors qu'il n'a pas établi entretenir une relation économique d'une intensité particulière avec ses enfants et qu'il n'a au surplus n'a pas fait preuve en Suisse d'un comportement irréprochable, au vu des multiples condamnations dont il y a fait l'objet. En conséquence, c'est en vain que le recourant se prévaut de la protection de la vie familiale au sens de l'art. 8 par. 1 CEDH pour prétendre à la prolongation de son autorisation de séjour en Suisse. 7.Il reste dès lors à examiner la question de l'octroi d'une autorisation de séjour en faveur du recourant en application du régime ordinaire de la LEtr. 7.1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et al, Migrationsrecht, Zurich 2012, ad art. 42 ch. 9). 7.2 En l'espèce, A._______ a obtenu une autorisation de séjour à la suite de son mariage du 30 décembre 2010 avec une ressortissante suisse, mais le couple s'est séparé en février 2013 et cette séparation apparaît définitive, dès lors que la vie commune n'a pas repris à ce jour. Le recourant ne peut ainsi pas se prévaloir des dispositions de l'art. 42 al. 1 et 3 LEtr en relation avec l'art. 49 LEtr. 8.En conséquence, il convient d'examiner si A._______ peut se prévaloir d'un droit au renouvellement de son autorisation de séjour en vertu de l'art. 50 LEtr. 8.1 8.1.1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 8.1.2 En l'occurrence, il apparaît que les époux A._______-C._______, mariés le 30 décembre 2010, se sont définitivement séparés en février 2013, si bien que leur communauté conjugale a duré moins de trois ans, ce qui n'est d'ailleurs pas contesté dans le recours.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en conséquence pas se prévaloir de l'art. 50 al. 1 let. a LEtr pour prétendre au renouvellement de son autorisation de séjour. 8.2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8.3 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8.4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 8.5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Des raisons personnelles majeures au sens de l'art. 50 al. 1 let. b LEtr peuvent enfin découler d'une relation digne de protection avec un enfant qui a le droit de séjourner en Suisse (pour les détails y relatifs, cf. ci-dessus, consid. 6.3 et 6.4). 8.6 A l'examen du dossier, il est constant que la communauté conjugale n'a pas été dissoute par le décès du conjoint et que le recourant ne se trouve pas victime de violence conjugale. De plus, aucun élément ne permet de penser qu'il se soit marié avec Virginie Latina contre sa volonté. 8.7 Pour les raisons déjà exposées précédemment au considérant 6.6, les relations entretenues par l'intéressé avec ses enfants D._______ et E._______ ne constituent pas une raison personnelle majeure au sens de l'art. 50 al. 1 let. b LEtr. 8.8 S'agissant des possibilités de réintégration du recourant dans son pays d'origine, il convient de relever que le recourant a passé toute son enfance et son adolescence en Algérie. Le Tribunal ne saurait ainsi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Le Tribunal ne saurait ainsi admettre, malgré la durée du séjour de l'intéressé en Suisse, que sa réintégration en Algérie, où il a encore de la famille - soit son père et son frère - et où il a déclaré vouloir retourner (cf. son audition du 20 décembre 2013 au SPOP), puisse être tenue pour fortement compromise.</w:t>
      </w:r>
    </w:p>
    <w:p>
      <w:r>
        <w:rPr>
          <w:b/>
        </w:rPr>
        <w:t>E. 9</w:t>
      </w:r>
    </w:p>
    <w:p>
      <w:r>
        <w:t>Il y a finalement lieu d'examiner si la poursuite du séjour de A._______ en Suisse s'impose pour l'un des motifs mentionnés à l'art. 31 al. 1 OASA. Il convient de relever à ce propos que le recourant est arrivé en Suisse le 9 décembre 2002 et qu'il y a ensuite résidé durant plusieurs années dans l'illégalité après la clôture de sa procédure d'asile en octobre 2003, avant de solliciter la régularisation de sa situation pour la préparation de son mariage avec C._______, puis de se voir délivrer un titre de séjour à la suite de ce mariage. Au regard de ce qui précède, la durée du séjour de l'intéressé sur le sol helvétique doit donc être fortement relativisée, puisque selon la jurisprudence constante du Tribunal, le séjour que le recourant a effectué en Suisse sans être au bénéfice d'une quelconque autorisation, soit les années qu'il a passées sur le sol helvétique entre l'entrée en force de la décision de l'ODR rejetant sa demande d'asile (le 17 octobre 2003) et son mariage avec C._______ (le 30 décembre 2010), ne doit pas être pris en considération ou alors seulement dans une mesure très restreinte (cf. notamment ATAF 2007/45 consid. 4.4 et 6.3 et ATAF 2007/44 consid. 5.2 et la jurisprudence citée, voir en outre les ATF 134 II 10 consid. 4.3, et130 II 281 consid. 3.3 ainsi que la jurisprudence développée en relation avec l'art. 8 CEDH et confirmée récemment, entre autres, par les arrêts du Tribunal fédéral 2C_1010/2011 du 31 janvier 2012 consid. 2.4 et 2C_75/2011 consid. 3.1). Le recourant a par ailleurs attendu l'année 2015 pour entreprendre une activité lucrative en Suisse et son comportement y a été tout sauf irréprochable : il y a d'abord déposé une demande d'asile sous une fausse identité, puis a fait l'objet de multiples condamnations entre 2003 et 2009, notamment pour infractions à la LStup. Il totalisait en outre pour plus de 14'000 francs de poursuites à la date du 28 août 2013. Le recourant n'a enfin nullement établi qu'il se serait constitué avec la Suisse des attaches sociales à ce point étroites qu'un retour dans son pays d'origine ne puisse être exigé. Aussi, compte tenu de ce qui précède et des possibilités de réintégration du recourant en Algérie (cf. consid. 8.8 supra), le Tribunal estime que sa situation n'est pas constitutive d'une situation d'extrême gravité. En conclusion, il convient de retenir que l'examen du cas à la lumière des critères de l'art. 31 al. 1 OASA ne permet pas non plus de conclure à l'existence de raisons personnelles majeures au sens de l'art. 50 al. 1 let. b LEtr. Aussi, l'examen du dossier ne permet pas de retenir que la poursuite du séjour du recourant en Suisse s'imposerait pour des raisons personnelles majeures au sens de l'art. 50 al. 1 let. b LEtr. 10.En considération de ce qui précède, le Tribunal est amené à conclure que l'ODM n'a ni excédé ni abusé de son pouvoir d'appréciation en retenant que l'intéressé ne remplissait pas les conditions de l'art. 50 LEtr et de l'art. 8 CEDH et en refusant ainsi de donner son approbation au renouvellement de son autorisation de séjour. 11.Dans la mesure où A._______ n'obtient pas la prolongation de son autorisation de séjour, c'est à bon droit que l'autorité intimée a prononcé son renvoi de Suisse, conformément à l'art. 64 al. 1 let. c LEtr. L'intéressé n'a par ailleurs pas démontré l'existence d'obstacles à son retour en Algérie et le dossier ne fait pas apparaître que l'exécution du renvoi serait illicite, inexigible ou impossible au sens de l'art. 83 al. 2 à 4 LEtr. Ainsi, c'est à juste titre que l'instance inférieure a ordonné l'exécution de cette mesure. 12.Il ressort de ce qui précède que, par sa décision du 11 décembre 2014,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