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C-585/2006 vom 11. September 2008</w:t>
      </w:r>
    </w:p>
    <w:p>
      <w:r>
        <w:t>Bundesverwaltungsgericht, 2008-09-11, FR</w:t>
      </w:r>
    </w:p>
    <w:p>
      <w:r>
        <w:rPr>
          <w:b/>
        </w:rPr>
        <w:t xml:space="preserve">Quelle: </w:t>
      </w:r>
      <w:r>
        <w:t>https://mcp.opencaselaw.ch/entscheid/bvger_C-585_2006</w:t>
      </w:r>
    </w:p>
    <w:p>
      <w:r>
        <w:t>FR: TAF C-585/2006 du 11 septembre 2008</w:t>
      </w:r>
    </w:p>
    <w:p>
      <w:r>
        <w:t>IT: TAF C-585/2006 del 11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d'une autorisation de séjour et de refus de levée d'interdiction d'entré en Suisse prononcées par l'ODM - lequel constitue une unité de l'administration fédérale telle que définie à l'art. 33 let. d LTAF - sont susceptibles de recours au TAF..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 que l'ordonnance du 6 octobre 1986 limitant le nombre des étrangers (OLE de 1986, RO 1986 1791), l'ordonnance du 20 avril 1983 sur la procédure d'approbation en droit des étrangers (ci-après: OPADE de 1983, RO 1983 535) et le règlement d'exécution du 1er mars 1949 de la loi fédérale sur le séjour et l'établissement des étrangers (RSEE de 1949, RO 1949 I 232).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 X._______ et son fils, Y._______, ont qualité pour recourir (art. 48 al. 1 PA). Présenté dans la forme et les délais prescrits par la loi, son recours est recevable (art. 50 et art. 52 PA).</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les décisions des autorités cantonales et peuvent parfaitement s'écarter de l'appréciation de ces dernières. Si l'on peut comprendre que la procédure d'approbation ainsi définie ne répond pas à l'idée que s'en fait la recourante, il ne reste pas moins qu'elle correspond entièrement à la pratique constante, consacrée par la jurisprudence tant du Tribunal fédéral (cf. ATF 130 loc. cit.), que des autorités compétentes en la matière. Cette pratique a au demeurant été formellement introduite dans les nouvelles dispositions légales (cf. art. 85 al. 3 OASA), en vigueur depuis le 1er janvier 2008, et constitue une possibilité pour la Confédération de vérifier si la décision cantonale remplit les conditions prévues par le droit fédéral. Aussi force est-il de constater que, contrairement à ce qu'avance la recourante, de ce point de vue, l'ODM, n'a violé ni le droit fédéral ni le principe de la sécurité du droit, respectivement de l'exigence d'une base légale suffisante.</w:t>
      </w:r>
    </w:p>
    <w:p>
      <w:r>
        <w:rPr>
          <w:b/>
        </w:rPr>
        <w:t>E. 5.1</w:t>
      </w:r>
    </w:p>
    <w:p>
      <w:r>
        <w:t>L'examen du dossier amène à constater que X._______, en sa qualité de ressortissante française, a déposé, le 14 février 2005, auprès du SPOP-VD, une demande de réexamen tendant à l'octroi d'une autorisation de séjour CE/AELE en vue d'une prise d'activité lucrative. Par ailleurs, il ressort du dossier que le 21 mars 2007, l'intéressée a épousé, à l'état civil de Pully, un ressortissant espagnol, titulaire d'une autorisation d'établissement dans le canton de Vaud, avec lequel elle fait ménage commun. Il y a dès lors lieu d'examiner au préalable s'il y a lieu d'appliquer la législation suisse ou l'ALCP pour l'examen du cas d'espèce concernant la délivrance de l'autorisation de séjour.</w:t>
      </w:r>
    </w:p>
    <w:p>
      <w:r>
        <w:rPr>
          <w:b/>
        </w:rPr>
        <w:t>E. 5.2</w:t>
      </w:r>
    </w:p>
    <w:p>
      <w:r>
        <w:t>Selon l'art. 1 lit. a LSEE, cette loi n'est applicable aux ressortissants des Etats membres de la Communauté européenne et aux membres de leur famille que si elle n'en dispose pas autrement ou si elle est plus favorable aux dispositions de l'Accord. A teneur de l'art. 17 al. 2 LSEE, le conjoint étranger d'un étranger possédant une autorisation d'établissement a droit à une autorisation de séjour, aussi longtemps que les époux vivent ensemble. En outre, selon la jurisprudence du Tribunal fédéral (cf. ATF 122 II 1, consid. 1; 122 II 289, consid. 1), l'art. 8 de la Convention de sauvegarde des droits de l'homme et des libertés fondamentales du 4 novembre 1950 (CEDH; RS 0.101) confère un droit à une autorisation de séjour au conjoint étranger d'un étranger bénéficiant d'une autorisation d'établissement lorsque les liens du couple sont étroits et effectifs. Ces conditions paraissent manifestement remplies en l'espèce. Le droit à une autorisation de séjour dans le cadre d'un regroupement familial, reconnu par l'art. 17 al. 2 LSEE, n'est toutefois pas absolu. Il s'éteint si l'ayant droit a enfreint l'ordre public (cf. art 17 al. 2 in fine LSEE) et, a fortiori, s'il existe un motif d'expulsion au sens de l'art. 10 al. 1 LSEE (cf. arrêts du Tribunal fédéral 2A.241/2003 du 31 novembre 2003, consid. 2 et 2A.297/2001 du 3 septembre 2001, consid. 3a). Si la déchéance de ce droit est néanmoins soumise à des conditions moins rigoureuses que celles requises par l'art. 7 al. 1 LSEE prévoyant que le droit du conjoint étranger d'un ressortissant suisse à une autorisation de séjour s'éteint lorsqu'il existe un motif d'expulsion (cf. arrêts cités ci-dessus), le principe de la proportionnalité doit toutefois être respecté (cf. ATF 122 II 385, consid. 3a; 120 Ib 129, consid. 4a; Alain Wurzburger, La jurisprudence récente du Tribunal fédéral en matière de police des étrangers, RDAF 1997, p. 320s). De plus, dans la mesure où un atteinte moindre à l'ordre public - par rapport à celle exigée pour justifier une expulsion - suffit au regard de l'art. 17 al. 2 in fine LSEE, les intérêts privés pèsent moins lourds dans la balance face aux intérêts publics que s'il s'agissait d'une mesure d'expulsion administrative (cf. jurisprudence précitée). De même, le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d'une personne bénéficiant d'une autorisation d'établissement, respectivement le refus de la prolonger, sur la base de l'art. 10 al. 1 LSEE suppose une pesée des intérêts en présence tant en vertu de l'art. 17 al. 2 in fine que de l'art. 8 § 2 CEDH (cf. ATF 120 Ib 129, consid. 4a et 4b) et l'examen de la proportionnalité de la mesure (cf. ATF 116 Ib 113, consid. 3c).</w:t>
      </w:r>
    </w:p>
    <w:p>
      <w:r>
        <w:rPr>
          <w:b/>
        </w:rPr>
        <w:t>E. 5.3</w:t>
      </w:r>
    </w:p>
    <w:p>
      <w:r>
        <w:t>Dans le cas particulier, la recourante a été condamnée le 2 juillet 2001 à la peine de sept ans de réclusion, soit à une peine qui excède largement la peine privative de liberté de deux ans retenue par la jurisprudence (ATF 130 II 176 consid. 4.1 p. 185) comme seuil indicatif au-delà duquel une autorisation de séjour n'est, sauf circonstances exceptionnelles, pas accordée, respectivement renouvelée, même si un départ de Suisse du conjoint paraît difficilement exigible. En outre, vu la condamnation précitée, il ressort que l'intéressée a enfreint l'ordre public, au sens de l'art. 17 al. 2 in fine LSEE et de la jurisprudence applicable à ce propos (cf. ch. 7.2). II n'est donc pas contestable qu'il existe un intérêt public à l'éloignement de la recourante qui l'emporte normalement sur l'intérêt privé de cette dernière à pouvoir rester en Suisse.</w:t>
      </w:r>
    </w:p>
    <w:p>
      <w:r>
        <w:rPr>
          <w:b/>
        </w:rPr>
        <w:t>E. 5.4</w:t>
      </w:r>
    </w:p>
    <w:p>
      <w:r>
        <w:t>Selon l'art. 5 al. 1 annexe I ALCP,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l'art. 5 al. 1 Annexe I ALCP et de la directive 64/221/CEE, tout acte affectant le droit à l'entrée et au séjour (ATF 130 II 176 consid. 3.1 p. 180 et les références). Les limitations au principe de la liberté de circulation des personnes doivent cependant s'interpréter de manière restrictive. Aussi, une condamnation pénale antérieure ne sera prise en considération que si les circonstances de fait à la base de cette condamnation démontrent que le comportement personnel de l'intéressé constitue une menace actuelle pour l'ordre public (ATF 130 II 176 consid. 3.4.1 p. 183/184 et les références citées). Le risque de récidive doit donc s'apprécier au regard de l'ensemble des circonstances, en particulier selon la nature et l'importance du bien juridique menacé, ainsi que de la gravité de l'atteinte potentielle qui pourrait y être portée (ATF 130 II 493 consid. 3.3 p. 499, 176 consid. 4.3.1 p. 185).</w:t>
      </w:r>
    </w:p>
    <w:p>
      <w:r>
        <w:rPr>
          <w:b/>
        </w:rPr>
        <w:t>E. 5.5</w:t>
      </w:r>
    </w:p>
    <w:p>
      <w:r>
        <w:t>En l'espèce, dans la mesure où les infractions pénales retenues à l'encontre de X._______ ont été commises en février 1999 et de mi-octobre 1999 au 17 mars 2000 (cf. jugement du 2 juillet 2001), soit il y a plus de huit ans, et compte tenu des arguments tirés de l'évolution favorable de l'intéressée depuis les faits précités, l'examen de sa demande d'autorisation de séjour sous l'angle de l'art. 5 al. 1 annexe I ALCP paraît plus favorable que sous celui de l'art. 17 al. 2 in fine LSEE qui prend uniquement en compte l'existence d'un trouble de l'ordre public (cf. à cet égard arrêt du Tribunal fédéral 2A.409/2005 du 9 janvier 2006 consid. 3.4). En conséquence, le Tribunal considère que l'examen du recours doit être limité à la seule question du bien fondé de la décision de l'ODM en tant que cet office a refusé de donner son approbation à la délivrance à l'intéressée d'une autorisation de séjour CE/AELE.</w:t>
      </w:r>
    </w:p>
    <w:p>
      <w:r>
        <w:rPr>
          <w:b/>
        </w:rPr>
        <w:t>E. 6</w:t>
      </w:r>
    </w:p>
    <w:p>
      <w:r>
        <w:t>L'ALCP confère à la recourante le droit d'obtenir une autorisation de séjour en qualité de travailleur salarié (cf. art. 6 ss Annexe I ALCP) et subsidiairement aussi sous l'angle du regroupement familial du fait de son mariage survenu le 21 mars 2007 (cf. art. 7 let. d ALCP et art. 3 par. 1 et 2 annexe I ALCP). Ce droit ne peut être limité que par des mesures d'ordre public, au sens de l'art. 5 al. 1 Annexe I ALCP, dont le cadre et les modalités sont limités par la directive 64/221/CEE et la jurisprudence y relative de la Cour de Justice des Communautés européennes (CJCE), rendue avant la signature de l'Accord sur la libre circulation des personnes (cf. art. 5 par. 2 annexe I ALCP en relation avec l'art. 16 ALCP).</w:t>
      </w:r>
    </w:p>
    <w:p>
      <w:r>
        <w:rPr>
          <w:b/>
        </w:rPr>
        <w:t>E. 6.1</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2C-691/2007 du 10 mars 2008,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arrêts du Tribunal fédéral 2C-691/2007 précité et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(cf. ATF 130 II 493 consid. 3.3, 130 II 176 consid. 4.3.1).</w:t>
      </w:r>
    </w:p>
    <w:p>
      <w:r>
        <w:rPr>
          <w:b/>
        </w:rPr>
        <w:t>E. 6.2</w:t>
      </w:r>
    </w:p>
    <w:p>
      <w:r>
        <w:t>En l'espèce, X._______ a été condamnée, le 2 juillet 2001, par le Tribunal d'arrondissement de Lausanne pour contravention et infraction grave à la LStup (trafic et consommation d'héroïne) à la peine de 7 ans de réclusion sous déduction de 270 jours de détention préventive, peine complémentaire à celle prononcée le 26 mars 2000 par le Tribunal de district de Monthey, pour des faits remontant au mois de février 1999 et de la mi-octobre 1999 jusqu'au mois de mars 2000. A cette occasion, il a été considéré au pénal que la culpabilité de l'accusée était « très lourde », qu'elle s'était livrée à un trafic important d'héroïne, qu'elle avait servi d'intermédiaire après l'arrestation de son mari et qu'elle avait été déjà condamnée par le passé (condamnation par défaut du 26 mars 2000 pour infraction et contravention à la LStup). Cependant, le Tribunal précité a relevé que l'intéressée bénéficiait de plusieurs circonstances atténuantes, à savoir qu'elle présentait un trouble de la personnalité qui avait moyennement diminué sa responsabilité pénale au moment des agissements délictueux, que son mobile s'apparentait plus à un besoin de subvenir à sa consommation personnelle d'héroïne qu'à la volonté de retirer des bénéfices du trafic et, enfin, qu'elle avait réellement pris conscience de ses actes, ce qui l'avait amenée à chercher à se distancer du monde de la drogue par une thérapie en milieu fermé. Sur ce dernier point, il est à noter que l'intéressée a entrepris, dès le 11 décembre 2000, un traitement résidentiel à la Fondation du Levant et qu'elle l'a terminé avec succès le 14 juillet 2003, même s'il a été relevé dans la décision du 26 avril 2004 de la Commission de libération du canton de Vaud que l'intéressée avait toutefois, à plusieurs reprises, rechuté dans la consommation de produits stupéfiants alors qu'elle traversait des moments difficiles. A ce sujet, il faut certes relever qu'il est avéré que X._______ a eu un contact téléphonique avec un vendeur d'héroïne et qu'elle a admis, lors de son audition du 21 juillet 2005, avoir acquis et consommé 2 grammes d'héroïne (cf. rapport de la police municipale de Lausanne du 11 août 2005). Force est cependant d'admettre qu'il s'agit d'un incident isolé et que l'intéressée n'a depuis lors pas replongé ni dans le trafic, ni dans la consommation de stupéfiants comme le démontrent les nombreux résultats d'analyse d'urine produits au cours de la procédure de recours cantonale (cf. arrêt du 15 mai 2006, p. 8) et au cours de la présente procédure (cf. analyses des 15 janvier, 1er et 23 février 2007 et 16 janvier 2008), qui tous attestent d'une abstinence aux drogues. Certes, s'il existe un intérêt public prépondérant à lutter contre le fléau de la drogue et à préserver la sécurité publique par l'éloignement de toutes les personnes fréquentant ce milieu et s'il résulte des faits reprochés à la recourante qu'elle a non seulement très gravement porté atteinte à l'ordre public mais encore mis en danger la santé d'un nombre considérable de personnes en raison du trafic auquel elle s'est livrée, il ressort néanmoins de ce qui précède que la commission de ces faits remonte aux années 1999-2000, que l'intéressée a entrepris depuis lors une thérapie pour s'affranchir de son addiction et qu'il convient de considérer qu'elle est actuellement abstinente de tout produit stupéfiant au vu des rapports versés au dossier. A cela s'ajoute le fait qu'elle a divorcé de son époux, trafiquant de drogue, et que depuis sa libération, au mois d'avril 2004, elle a entrepris une réinsertion tant au niveau professionnel et social que familial. En effet, la recourante a travaillé, en tant qu'employée de commerce, pour des missions temporaires pour Addeco dès le mois d'octobre 2002 jusqu'en janvier 2005, pour l'Union des Sociétés Lausannoises du mois d'avril au mois de juillet 2005, puis pour Pro Infirmis jusqu'au mois de septembre 2005, avant d'être réengagée à ce moment-là par Adecco pour plusieurs missions auprès de différents employeurs (cf. certificat du 19 juin 2007). En outre, il ressort du courrier de la recourante du 28 juillet que son employeur actuel (Les Retraites Populaires) a confirmé son engagement jusqu'au 31 mars 2010, ce qui lui assure une stabilité professionnelle. Par ailleurs, les certificats de travail établis par les employeurs précités contiennent tous d'excellentes références. Il est à noter encore que la recourante a aussi été appréciée pour son travail bénévole de secrétaire pour le comité de l'Union des Sociétés Lausannoises. Enfin, sur le plan familial, la recourante a renoué contact avec sa mère et son beau-père domiciliés en Valais, qu'elle revoit régulièrement, et elle assume pleinement sa « fonction parentale » auprès de son fils (cf. rapport du Service de la protection de la jeunesse du canton de Vaud du 17 janvier 2006). De plus, l'intéressée s'est remariée le 21 mars 2007, ce qui lui assure un cadre familial encore plus stable pour élever son enfant et affronter en couple les moments difficiles qui, par le passé, ont pu la faire rechuter dans sa dépendance aux drogues. Dès lors, au vu de la réinsertion professionnelle, sociale et familiale de la recourante, force est d'admettre qu'elle ne présente plus une menace réelle, actuelle et suffisamment grave pour la sécurité et l'ordre publics au sens des normes et de la jurisprudence communautaires, de sorte que la décision querellée ne satisfait donc pas aux conditions habilitant l'autorité à déroger au principe de libre circulation des personnes consacré par l'ALCP. Il s'ensuit que X._______ a droit à l'obtention d'une autorisation de séjour CE/AELE. De même, pour des raisons de regroupement familial et en application de l'ALCP, il y a lieu d'accorder aussi une autorisation de séjour à son fils Y._______.</w:t>
      </w:r>
    </w:p>
    <w:p>
      <w:r>
        <w:rPr>
          <w:b/>
        </w:rPr>
        <w:t>E. 7</w:t>
      </w:r>
    </w:p>
    <w:p>
      <w:r>
        <w:t>Dans la mesure où la recourante doit être mise au bénéfice d'une autorisation de séjour comme indiqué ci-avant, il y a lieu de lever avec effet immédiat la décision d'interdiction d'entrée en Suisse prononcée à son endroit le 21 mai 2004.</w:t>
      </w:r>
    </w:p>
    <w:p>
      <w:r>
        <w:rPr>
          <w:b/>
        </w:rPr>
        <w:t>E. 8</w:t>
      </w:r>
    </w:p>
    <w:p>
      <w:r>
        <w:t>Enfin, dans la mesure où le dossier est complet et l'état de fait pertinent suffisamment établi, le Tribunal peut se dispenser de procéder à des mesures d'instruction complémentaires (telle une audition des personnes mentionnées dans le recours) dans le cadre de la présente cause (cf. ATF 131 I 153 consid. 3 p. 157, ATF 125 I 209 consid. 9b p. 219, et la jurisprudence citée; cf. JAAC 56.5).</w:t>
      </w:r>
    </w:p>
    <w:p>
      <w:r>
        <w:rPr>
          <w:b/>
        </w:rPr>
        <w:t>E. 9</w:t>
      </w:r>
    </w:p>
    <w:p>
      <w:r>
        <w:t>Compte tenu des considérants exposés ci-dessus, le recours de X._______ et de son enfant, Y._______, doit donc être admis, en ce sens que la décision prise par l'ODM le 29 septembre 2006 à leur endroit est annulée, que la délivrance par les autorités cantonales vaudoises d'une autorisation de séjour CE/AELE en leur faveur est approuvée et que la décision d'interdiction d'entrée en Suisse du 21 mai 2004 est levée avec effet immédiat. Bien qu'elle succombe, l'autorité inférieure n'a pas à supporter de frais de procédure (art. 63 al. 2 PA). Les recourants obtenant gain de cause, il n'y a pas lieu de mettre les frais de la présente procédure à leur charge (art. 63 al. 1 a contrario et art. 63 al. 3 PA). La décision incidente du 5 février 2007, par laquelle le Tribunal de céans a accordé aux recourants l'assistance judiciaire et a désigné Me Nicolas Rouiller en qualité d'avocat d'office (art. 65 al. 1 et 2 PA) devient sans objet et il y a lieu d'allouer des dépens aux intéressés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des recourants, le TAF estime, au regard des art. 8 et ss FITAF, que le versement d'un montant de Fr. 1'800.--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