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C-5857/2015 vom 30. Mai 2017</w:t>
      </w:r>
    </w:p>
    <w:p>
      <w:r>
        <w:t>Bundesverwaltungsgericht, 2017-05-30, DE</w:t>
      </w:r>
    </w:p>
    <w:p>
      <w:r>
        <w:rPr>
          <w:b/>
        </w:rPr>
        <w:t xml:space="preserve">Quelle: </w:t>
      </w:r>
      <w:r>
        <w:t>https://mcp.opencaselaw.ch/entscheid/bvger_C-5857_2015</w:t>
      </w:r>
    </w:p>
    <w:p>
      <w:r>
        <w:t>FR: TAF C-5857/2015 du 30 mai 2017</w:t>
      </w:r>
    </w:p>
    <w:p>
      <w:r>
        <w:t>IT: TAF C-5857/2015 del 30 maggio 2017</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2</w:t>
      </w:r>
    </w:p>
    <w:p>
      <w:r>
        <w:t>Als Adressat des die Einsprache abweisenden Entscheides ist der Beschwerdeführer davon berührt und er hat ein schutzwürdiges Interesse an deren Aufhebung oder Änderung (Art. 59 ATSG, Art. 48 Abs. 1 VwVG). Die Beschwerde wurde fristgerecht und formgerecht (vgl. Art. 38 ff. und Art. 60 ATSG, Art. 52 VwVG) eingereicht, weshalb darauf einzutreten ist.</w:t>
      </w:r>
    </w:p>
    <w:p>
      <w:r>
        <w:rPr>
          <w:b/>
        </w:rPr>
        <w:t>E. 3</w:t>
      </w:r>
    </w:p>
    <w:p>
      <w:r>
        <w:t>In materieller Hinsicht sind grundsätzlich diejenigen Rechtssätze massgebend, die bei der Erfüllung des zu Rechtsfolgen führenden Tatbestandes Geltung haben. Ist die Rückvergütung von AHV-Beiträgen zu beurteilen, ist auf die im Zeitpunkt der Antragstellung (vorliegend am 23. Juni 2014) geltenden Bestimmungen abzustellen (BGE 136 V 24 E. 4.4; Urteil BVGer C-5012/2014 vom 25. März 2015 E. 3.1). Entgegen der Ansicht des Beschwerdeführers ist deshalb nicht das Recht massgebend, welches im Zeitpunkt der Leistung der Beiträge in Kraft stand.</w:t>
      </w:r>
    </w:p>
    <w:p>
      <w:r>
        <w:rPr>
          <w:b/>
        </w:rPr>
        <w:t>E. 3.1</w:t>
      </w:r>
    </w:p>
    <w:p>
      <w:r>
        <w:t>Ausländer sowie ihre Hinterlassenen haben gemäss Art. 18 Abs. 2 AHVG grundsätzlich nur Anspruch auf eine Alters- oder Hinterlassenenrente, solange sie ihren Wohnsitz und gewöhnlichen Aufenthalt in der Schweiz haben (Satz 1). Eine zwischenstaatliche Vereinbarung, die den Export Altersrente vorsieht, besteht zwischen dem Kosovo und der Schweiz seit dem 1. April 2010 nicht mehr (BGE 139 V 263).</w:t>
      </w:r>
    </w:p>
    <w:p>
      <w:r>
        <w:rPr>
          <w:b/>
        </w:rPr>
        <w:t>E. 3.2</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Verordnung vom 29. November 1995 über die Rückvergütung der von Ausländern an die Alters- und Hinterlassenenversicherung bezahlten Beiträge (RV-AHV [SR 831.131.12]) erlassen.</w:t>
      </w:r>
    </w:p>
    <w:p>
      <w:r>
        <w:rPr>
          <w:b/>
        </w:rPr>
        <w:t>E. 3.2.1</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3.2.2</w:t>
      </w:r>
    </w:p>
    <w:p>
      <w:r>
        <w:t>Aus rückvergüteten Beiträgen und den entsprechenden Beitragszeiten können gegenüber der AHV und der IV keine Rechte abgeleitet werden. Die Wiedereinzahlung der Beiträge ist ausgeschlossen (Art. 6 RV-AHV). Nach Art. 7 RV-AHV geht der Anspruch auf Rückvergütung unter mit dem Tod des Berechtigten. Er verjährt mit dem Ablauf von fünf Jahren seit dem Versicherungsfall.</w:t>
      </w:r>
    </w:p>
    <w:p>
      <w:r>
        <w:rPr>
          <w:b/>
        </w:rPr>
        <w:t>E. 3.3</w:t>
      </w:r>
    </w:p>
    <w:p>
      <w:r>
        <w:t>Hinsichtlich der Dauer der Beitragsleistung und der Höhe der Beiträge wird grundsätzlich auf die individuellen Konten abgestellt, in welche die für die Berechnung der ordentlichen Renten erforderlichen Angaben eingetragen werden (vgl. Art. 30ter Abs. 1 AHVG; Art. 137 ff. AHVV [SR 831.101]; zu den Voraussetzungen einer Kontenberichtigung siehe Art. 141 AHVV und BGE 117 V 261 E. 3a).</w:t>
      </w:r>
    </w:p>
    <w:p>
      <w:r>
        <w:rPr>
          <w:b/>
        </w:rPr>
        <w:t>E. 4</w:t>
      </w:r>
    </w:p>
    <w:p>
      <w:r>
        <w:t>Unbestritten ist, dass die Voraussetzungen für eine Rückvergütung erfüllt sind und der Beschwerdeführer zwischen 1976 und 1983 ein beitragspflichtiges Einkommen von CHF 125'209.- erzielt hat. Umstritten ist lediglich, ob bei der Berechnung alle dem Beschwerdeführer zurückzuerstattenden Beiträge berücksichtigt worden sind.</w:t>
      </w:r>
    </w:p>
    <w:p>
      <w:r>
        <w:rPr>
          <w:b/>
        </w:rPr>
        <w:t>E. 4.1</w:t>
      </w:r>
    </w:p>
    <w:p>
      <w:r>
        <w:t>Im individuellen Konto ist namentlich das Beitragsjahr und die Beitragsdauer in Monaten sowie das Jahreseinkommen in Franken einzutragen (Art. 140 Abs. 1 Bst. d und e AHVV). Die monatlich geleisteten Beiträge sind hingegen nicht zu erfassen. Die Höhe der Beiträge ergibt sich aus dem Gesetz. Gemäss Art. 5 Abs. 1 AHVG wird vom Einkommen aus unselbständiger Erwerbstätigkeit ein Beitrag von 4.2 % erhoben (Arbeitnehmerbeitrag). Der Arbeitgeberbeitrag beträgt gemäss Art. 13 AHVG ebenfalls 4.2 %. Der Rückerstattung unterliegt sowohl der Arbeitnehmer- als auch der Arbeitgeberbeitrag (vgl. Art. 18 Abs. 3 AHVG). Massgebend ist somit ein Beitragssatz von 8.4 %.</w:t>
      </w:r>
    </w:p>
    <w:p>
      <w:r>
        <w:rPr>
          <w:b/>
        </w:rPr>
        <w:t>E. 4.2</w:t>
      </w:r>
    </w:p>
    <w:p>
      <w:r>
        <w:t>Die vom Beschwerdeführer und seinen Arbeitgebern für die Jahre 1976 bis 1983 geleisteten Beiträge betragen CHF 10'517.55 (125'209 x 8.4 % = 10'517.56). Der Rückerstattungsbetrag von CHF 10'517.55 stimmt sowohl mit der in der Verfügung aufgeführten Berechnung als auch mit derjenigen im Einspracheentscheid überein. Die Vorbringen, die Vorinstanz habe den Betrag im Verlaufe des Verfahrens unterschiedlich berechnet, lässt sich aufgrund der Akten nicht bestätigen.</w:t>
      </w:r>
    </w:p>
    <w:p>
      <w:r>
        <w:rPr>
          <w:b/>
        </w:rPr>
        <w:t>E. 4.3</w:t>
      </w:r>
    </w:p>
    <w:p>
      <w:r>
        <w:t>Wie die Vorinstanz zutreffend ausgeführt hat, unterliegen nur die AHV-Beiträge einer Rückerstattung. Die Beiträge an die Invalidenversicherung können ebenso wenig zurückerstattet werden wie die Beiträge an die Erwerbsersatzordnung, an die Arbeitslosenversicherung oder an die Krankenversicherung (vgl. BVGE 2016/6 E. 5.5.1 [mit Hinweisen] und E. 5.6.3). Das IVG (SR 831.20), die EO (SR 834.1), das AVIG (SR 837.0) und das KVG (SR 832.10) sehen - im Unterschied zum AHVG - eine Rückerstattung der Beiträge an Ausländerinnen und Ausländer, die definitiv in ihre Heimat zurückgekehrt sind, nicht vor. Ob die SAK überhaupt zuständig wäre, über eine Rückerstattung von Krankenkassenprämien zu befinden, kann daher offenbleiben.</w:t>
      </w:r>
    </w:p>
    <w:p>
      <w:r>
        <w:rPr>
          <w:b/>
        </w:rPr>
        <w:t>E. 4.4</w:t>
      </w:r>
    </w:p>
    <w:p>
      <w:r>
        <w:t>Zusammenfassend ergibt sich, dass die Vorinstanz den Rückvergütungsbetrag korrekt ermittelt hat. Die gegen den Einspracheentscheid vom 13. April 2015 erhobene Beschwerde erweist sich als offensichtlich unbegründet, weshalb sie im einzelrichterlichen Verfahren abzuweisen ist (vgl. Art. 23 Abs. 2 VGG i.V.m. Art. 85bis Abs. 3 AHVG).</w:t>
      </w:r>
    </w:p>
    <w:p>
      <w:r>
        <w:rPr>
          <w:b/>
        </w:rPr>
        <w:t>E. 5</w:t>
      </w:r>
    </w:p>
    <w:p>
      <w:r>
        <w:t>Das Verfahren ist kostenlos (Art. 85bis Abs. 2 AHVG), weshalb keine Verfahrenskosten zu erheben sind.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