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C-584/2018 vom 3. Februar 2020</w:t>
      </w:r>
    </w:p>
    <w:p>
      <w:r>
        <w:t>Bundesverwaltungsgericht, 2020-02-03, DE</w:t>
      </w:r>
    </w:p>
    <w:p>
      <w:r>
        <w:rPr>
          <w:b/>
        </w:rPr>
        <w:t xml:space="preserve">Quelle: </w:t>
      </w:r>
      <w:r>
        <w:t>https://mcp.opencaselaw.ch/entscheid/bvger_C-584_2018</w:t>
      </w:r>
    </w:p>
    <w:p>
      <w:r>
        <w:t>FR: TAF C-584/2018 du 3 février 2020</w:t>
      </w:r>
    </w:p>
    <w:p>
      <w:r>
        <w:t>IT: TAF C-584/2018 del 3 febbraio 2020</w:t>
      </w:r>
    </w:p>
    <w:p>
      <w:pPr>
        <w:pStyle w:val="Heading2"/>
      </w:pPr>
      <w:r>
        <w:t>Regeste</w:t>
      </w:r>
    </w:p>
    <w:p>
      <w:r>
        <w:t>Spezialitätenliste</w:t>
      </w:r>
    </w:p>
    <w:p>
      <w:pPr>
        <w:pStyle w:val="Heading2"/>
      </w:pPr>
      <w:r>
        <w:t>Erwägungen</w:t>
      </w:r>
    </w:p>
    <w:p>
      <w:r>
        <w:rPr>
          <w:b/>
        </w:rPr>
        <w:t>E. 1</w:t>
      </w:r>
    </w:p>
    <w:p>
      <w:r>
        <w:t>Das Bundesverwaltungsgericht ist zur Beurteilung der vorliegenden Beschwerde vom 29. Januar 2018 gegen die Verfügung des BAG vom 14. Dezember 2017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ist vorliegend die Verfügung der Vorinstanz vom 14. Dezember 2017, mit welcher im Rahmen der Überprüfung der Aufnahmebedingungen alle drei Jahre im Jahr 2017 eine Senkung des Publikumspreises für das Arzneimittel B._______ per 1. Februar 2018 um 38.33% verfügt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rechtsanwendendende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11. Dezember 2019,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(Änderung vom 25. September 2015, AS 2017 4095),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5</w:t>
      </w:r>
    </w:p>
    <w:p>
      <w:r>
        <w:t>Nicht strittig ist, dass für das Arzneimittel B._______ nach wie vor eine gültige Zulassung des Heilmittelinstituts (Swissmedic) vorliegt (siehe auch die Liste der zugelassenen Präparate auf www.swissmedic.ch &gt; Services und Listen &gt; Listen und Verzeichnisse &gt; Humanarzneimittel, abgerufen am 11. Dezember 2019). Ebenfalls nicht umstritten ist, dass B._______ die Zulassungsvoraussetzungen der Wirksamkeit und Zweckmässigkeit immer noch erfüllt. Umstritten sind der TQV (E. 6) und der APV (E. 7), die nachfolgend zu überprüfen sind.</w:t>
      </w:r>
    </w:p>
    <w:p>
      <w:r>
        <w:rPr>
          <w:b/>
        </w:rPr>
        <w:t>E. 6.1</w:t>
      </w:r>
    </w:p>
    <w:p>
      <w:r>
        <w:t>Die Vorinstanz hat für den TQV zwei der sechs von der Beschwerdeführerin im Vorverfahren angegebenen Präparate herangezogen (Vorakten 2 und 10), und zwar F._______ 30g (Wirkstoff: G._______) und H._______ 30g (Wirkstoff: I.________). Das errechnete TQV-Niveau von Fr. (...) lag dabei 25 % unter dem aktuellen Fabrikabgabepreis für B._______ (...) g (Vorakten 10). Demgegenüber macht die Beschwerdeführerin geltend, F._______ sei kein geeignetes Vergleichspräparat, weshalb auch dessen Preise keine Preisreduktion rechtfertigten. Nachfolgend gilt es zu prüfen, ob die von der Vorinstanz getroffene Auswahl der Vergleichspräparate und die Durchführung des TQV im Einklang mit den rechtlichen Anforderungen steht.</w:t>
      </w:r>
    </w:p>
    <w:p>
      <w:r>
        <w:rPr>
          <w:b/>
        </w:rPr>
        <w:t>E. 6.1.1</w:t>
      </w:r>
    </w:p>
    <w:p>
      <w:r>
        <w:t>In der Beschwerde wird geltend gemacht, in den einschlägigen Leitlinien werde hinsichtlich der Behandlungsempfehlungen nicht das von der Vorinstanz herangezogene Präparat F.________ und auch nicht der darin enthaltene Wirkstoff (G.________) erwähnt. Die Behandlung von (...[Angaben zur Indikation]) mit G._______ entspreche nicht bzw. nicht mehr dem aktuellen Stand der medizinischen und pharmazeutischen Wissenschaften. Das genannte Präparat sei daher im TQV nicht zu berücksichtigen, da es nicht für die Behandlung derselben Krankheit eingesetzt werde, so wie dies in Art. 65 Abs. 4bis KVV verlangt werde. Dabei stützt sich die Beschwerdeführerin auf die Leitlinien der deutschen (... [Fachgesellschaft]) mit dem Titel «(...)» sowie auf die Leitlinie der (... [Fachgesellschaft]) zur Behandlung von (...[Angaben zur Indikation]) (BVGer act. 1, Beilagen 4 und 5). In der Replik wird gegenüber den von der Vorinstanz herangezogenen Empfehlungen der deutschsprachigen (... [Fachgesellschaft]) und der (... [Fachgesellschaft]), (... [Angaben zur Indikation]) eingewandt, es sei falsch, aufgrund der Zugehörigkeit von G._______ zu den (... [Angaben zum Wirkstoff]) davon auszugehen, es handle sich um eine Therapiealternative (vgl. BVGer act. 9 und Beilage). So würden im Unterkapitel (...) der Empfehlungen (...) zwar erwähnt, F.________ sei aber für die Behandlung von (... [Angaben zur Indikation]) gerade nicht zugelassen. Daher sei aufgrund von einer Erwähnung von (...) durch die Fachgesellschaft nicht darauf zu schliessen, dass dies auch eine Behandlung mit G._______ umfasse.</w:t>
      </w:r>
    </w:p>
    <w:p>
      <w:r>
        <w:rPr>
          <w:b/>
        </w:rPr>
        <w:t>E. 6.1.2</w:t>
      </w:r>
    </w:p>
    <w:p>
      <w:r>
        <w:t>Demgegenüber führte die Vorinstanz in ihrer Vernehmlassung aus, das strittige Vergleichspräparat sei wie das Arzneimittel der Beschwerdeführerin zur Behandlung von (... [Angaben zur Indikation]) zugelassen, womit die Indikationen im Wesentlichen übereinstimmten. Entsprechend seien die Präparate als Therapiealternativen zu sehen. Zwar werde der Wirkstoff G._______ in den zitierten Leitlinien (...) nicht erwähnt, die (...) (... [Angaben zu Wirkstoff]) würden dabei aber nur beispielhaft aufgezählt. In die Gruppe der (...), welche dem gleichen Wirkmechanismus unterlägen, gehörten u.a. I._______, G._______ und (...). Auch aus den Empfehlungen der deutschsprachigen (... [Fachgesellschaft]) und der (... [Fachgesellschaft]), gehe hervor, dass (... [Angaben zur Indikation]) in der Regel mit (... [Angaben zum Wirkstoff]) effektiv behandelt werden könnten. Duplikweise führte die Vorinstanz aus, dass die Indikationen von F._______ nicht deckungsgleich mit jenen des Arzneimittels der Beschwerdeführerin seien. Auch wenn das Arzneimittel der Beschwerdeführerin im Fall von (... [Angaben zur Indikation]) anwendbar sei und der Wirkstoff von F._______ zusätzlich gegen (... [Angaben zur Indikation]), sei der Wirkstoff von F._______ (G._______) bei (... [Angaben zur Indikation]) indiziert.</w:t>
      </w:r>
    </w:p>
    <w:p>
      <w:r>
        <w:rPr>
          <w:b/>
        </w:rPr>
        <w:t>E. 6.2</w:t>
      </w:r>
    </w:p>
    <w:p>
      <w:r>
        <w:t>Wie das Bundesverwaltungsgericht wiederholt festgehalten hat, findet durch den TQV eine indirekte Kosten-Nutzen-Analyse statt (vgl. Urteile des BVGer C-595/2015 vom 19. Juni 2018 E.7.3; C-7112/2017 vom 26. September 2019 E. 7.3).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Die therapeutische Gleichwertigkeit muss dabei mit klinischen Studien belegt werden (BVGE 2015/51 E. 8.2.1). Nach der bisherigen (in Anwendung von aArt. 34 Abs. 2 Bst. b KLV ergangenen) Rechtsprechung erforderte der Beizug eines Arzneimittels in den TQV keine absolute Identität mit dem zu überprüfenden Präparat (Urteil C-6246/2014 E. 8.2 und 8.3). Dass ein zum Vergleich herangezogenes Arzneimittel zusätzliche, über jene des zu überprüfenden Präparates hinausgehende Indikationen aufweist, steht einer Berücksichtigung im Rahmen des TQV nicht entgegen (Ziff. C.2.1.2 des SL-Handbuchs). Bei Arzneimitteln mit mehreren unterschiedlichen Indikationen wird für die Beurteilung der Wirtschaftlichkeit die Hauptindikation berücksichtigt (Ziff. C.2.1.6 des SL-Handbuchs).</w:t>
      </w:r>
    </w:p>
    <w:p>
      <w:r>
        <w:rPr>
          <w:b/>
        </w:rPr>
        <w:t>E. 6.3</w:t>
      </w:r>
    </w:p>
    <w:p>
      <w:r>
        <w:t>Dem BAG steht bei der Auswahl der Vergleichspräparate ein weiter Ermessensspielraum zu. Es steht im Ermessen der Verwaltung, im jeweiligen Einzelfall darüber zu befinden, welche und damit auch wie viele der in Frage kommenden Arzneimittel dem TQV effektiv zugrunde zu legen sind, damit dem Ziel des Gesetzes - eine qualitativ hochstehende gesundheitliche Versorgung mit möglichst geringen Kosten - nachgelebt wird (vgl. Urteile des BVGer C-519/2015 vom 11. April 2017 E. 9.4; C-6252/2014 vom 8. September 2016 E. 8.3, vom Bundesgericht bestätigt mit BGE 143 V 369 E. 5.3.3; C-6246/2014 vom 13. Oktober 2016 E. 8.3, vom Bundesgericht bestätigt mit Urteil 9C_79/2016 vom 27. November 2017). Zu prüfen bleibt in jedem Einzelfall, ob die Vorinstanz bei der Auswahl der Vergleichspräparate ihr weites Ermessen sachgerecht ausgeübt hat.</w:t>
      </w:r>
    </w:p>
    <w:p>
      <w:r>
        <w:rPr>
          <w:b/>
        </w:rPr>
        <w:t>E. 6.4</w:t>
      </w:r>
    </w:p>
    <w:p>
      <w:r>
        <w:t>Im vorliegenden Fall nicht umstritten ist, dass die Vorinstanz H._______ als Vergleichspräparat herangezogen hat. Die Beschwerdeführerin macht jedoch geltend, dass das Präparat F._______ keine Therapiealternative darstelle. Zur Beurteilung, ob das BAG für den TQV Präparate gleicher Indikation beigezogen hat, ist auf die Fachinformationen, wie sie von Swissmedic gutgeheissen wurden, abzustellen (vgl. E. 6.2 hiervor). Daraus ergibt sich Folgendes:</w:t>
      </w:r>
    </w:p>
    <w:p>
      <w:r>
        <w:rPr>
          <w:b/>
        </w:rPr>
        <w:t>E. 6.4.1</w:t>
      </w:r>
    </w:p>
    <w:p>
      <w:r>
        <w:t>Das Arzneimittel B._______ wird laut Fachinformation des Arzneimittelkompendiums angewendet bei (... [Angaben zur Indikation und Zusammensetzung]) (&lt; https://compendium.ch/[...] &gt;, abgerufen am 11. Dezember 2019).</w:t>
      </w:r>
    </w:p>
    <w:p>
      <w:r>
        <w:rPr>
          <w:b/>
        </w:rPr>
        <w:t>E. 6.4.2</w:t>
      </w:r>
    </w:p>
    <w:p>
      <w:r>
        <w:t>Das von der Vorinstanz herangezogene Arzneimittel H._______ wird laut Fachinformation angewendet für (...[Angaben zur Indikation, Zusammensetzung und Wirkungsweise]) (&lt; https://compendium.ch/[...] &gt;, abgerufen am 11. Dezember 2019).</w:t>
      </w:r>
    </w:p>
    <w:p>
      <w:r>
        <w:rPr>
          <w:b/>
        </w:rPr>
        <w:t>E. 6.4.3</w:t>
      </w:r>
    </w:p>
    <w:p>
      <w:r>
        <w:t>Das von der Vorinstanz im Weiteren zum Vergleich herangezogene Arzneimittel F._______ wird laut Fachinformation angewendet bei (...[Angaben zur Indikation und Zusammensetzung]) (&lt; https://compendium.ch/product/[...] &gt;, abgerufen am 11. Dezember 2019).</w:t>
      </w:r>
    </w:p>
    <w:p>
      <w:r>
        <w:rPr>
          <w:b/>
        </w:rPr>
        <w:t>E. 6.4.4</w:t>
      </w:r>
    </w:p>
    <w:p>
      <w:r>
        <w:t>Ein Vergleich der Indikationen ergibt das folgende Bild: Indikation B._______ H._______ F._______ (...) (...) X X (...) X X X (...) X X (...) X X (...) X X X (...) X X (...) X X (...) X (...) X</w:t>
      </w:r>
    </w:p>
    <w:p>
      <w:r>
        <w:rPr>
          <w:b/>
        </w:rPr>
        <w:t>E. 6.4.5</w:t>
      </w:r>
    </w:p>
    <w:p>
      <w:r>
        <w:t>Das Arzneimittel der Beschwerdeführerin und das Vergleichspräparat H._______ wirken laut Fachinformation gegen (... [Angaben zur Indikation]). Das Vergleichspräparat F._______ wirkt laut Fachinformation bei (... [Angaben zur Indikation]). Die Vorinstanz ging in der angefochtenen Verfügung von der Indikation (...) aus (vgl. BVGer act. 1, Beilage 1). Wie vorstehend dargelegt, wird eine Form (... [Angaben zur Indikation]) genannt (vgl. E. 6.4.1 hiervor). Unter Berücksichtigung der Fachinformation zum strittigen Vergleichspräparat sowie des erheblichen Ermessensspielraums, welcher der Vorinstanz im Rahmen des TQV einzuräumen ist, dient das Vergleichspräparat F._______ im Wesentlichen der Behandlung derselben Krankheit und kann dementsprechend in den TQV einbezogen werden.</w:t>
      </w:r>
    </w:p>
    <w:p>
      <w:r>
        <w:rPr>
          <w:b/>
        </w:rPr>
        <w:t>E. 6.4.6</w:t>
      </w:r>
    </w:p>
    <w:p>
      <w:r>
        <w:t>Es ist zwar richtig, dass in den von der Beschwerdeführerin und der Vorinstanz zitierten Leitlinien und Empfehlungen der in F._______ enthaltene Wirkstoff H._______ nicht erwähnt wird. Doch sind die Ausführungen der Vorinstanz nicht zu beanstanden, wonach gemäss der von Swissmedic genehmigten Fachinformation F._______ zur Behandlung von (... [Angaben zur Indikation]) zugelassen ist und somit auch der Behandlung der Krankheit, welche die Hauptindikation des Arzneimittels der Beschwerdeführerin darstellt, dient. In den Fachinformationen zu F._______ sind unter den Indikationen (... [Angaben zur Indikation]) explizit aufgeführt (vgl. E. 6.4.3 hiervor). Darüber hinaus erscheint auch die vorinstanzliche Auseinandersetzung mit den Einwänden der Beschwerdeführerin schlüssig, wonach der Wirkstoff G._______ unter den Oberbegriff (...) zu subsumieren sei, welcher von der Fachgesellschaft angeführt wurde. Die Vorinstanz argumentiert nachvollziehbar, dass deren Wirksamkeit lediglich in demonstrativer Aufzählung einiger (... [Angaben zum Wirkstoff]) - unter Auslassung des von der Beschwerdeführerin beanstandeten Wirkstoffs G._______ - beschrieben worden sei. Nach Prüfung der Akten und Einwände ergibt sich für das Gericht auch nichts Anderes aus dem klinischen Wörterbuch, in dem als Therapie eine (... [Angaben zur Behandlung]) mit (... [Angaben zum Wirkstoff]) genannt wird (vgl. Pschyrembel, a.a.O., S. [...]). Wie die Vorinstanz überzeugend ausführt, vermag auch das Vorbringen der Beschwerdeführerin, F._______ sei bei (...) nicht indiziert, nichts daran zu ändern, dass es als Vergleichspräparat für das Arzneimittel der Beschwerdeführerin, welches hauptsächlich bei (... [Angaben zur Indikation]) angewendet wird, herangezogen werden kann. Nach dem Gesagten erweist sich das Präparat gemäss den von Swissmedic genehmigten Fachinformationen als anwendbar bei (... [Angaben zur Indikation]) und der Einbezug in den TQV ist nicht zu beanstanden.</w:t>
      </w:r>
    </w:p>
    <w:p>
      <w:r>
        <w:rPr>
          <w:b/>
        </w:rPr>
        <w:t>E. 6.4.7</w:t>
      </w:r>
    </w:p>
    <w:p>
      <w:r>
        <w:t>Soweit die Beschwerdeführerin vorbringt, eine Behandlung mit F._______ entspreche nicht (mehr) dem Stand der Wissenschaften, ist Folgendes festzuhalten: Swissmedic überprüft die zugelassenen Arzneimittel und damit einhergehend auch die Fachinformationen periodisch (Art. 16 Abs. 3 Heilmittelgesetz [HMG; SR 812.21] i.V.m. Art. 13 Abs. 1 und 3 Arzneimittelverordnung [VAM; SR 812.212.21]) sowie nach jeweils fünf Jahren anlässlich der Erneuerung der Zulassung (Art. 16 Abs. 2 und 4 i.V.m. Art. 11 Abs. 1 lit. f HMG). Es ist daher davon auszugehen, dass die Arzneimittelinformationen regelmässig auf den neusten Stand gebracht werden. Nach dem Gesagten ist es nicht zu beanstanden, dass in der vorinstanzlichen Verfügung davon ausgegangen wird, F._______ sei bei einer Behandlung von (... [Angaben zur Indikation]) anwendbar.</w:t>
      </w:r>
    </w:p>
    <w:p>
      <w:r>
        <w:rPr>
          <w:b/>
        </w:rPr>
        <w:t>E. 6.4.8</w:t>
      </w:r>
    </w:p>
    <w:p>
      <w:r>
        <w:t>Nach dem Gesagten erweist sich der Einbezug der Vergleichspräparate H._______ und F._______ in den TQV als sachgerecht. Entgegen den Vorbringen der Beschwerdeführerin ist die Wahl des Vergleichspräparates F._______ nicht zu beanstanden (vgl. E. 3.3 und E. 6.2 hiervor).</w:t>
      </w:r>
    </w:p>
    <w:p>
      <w:r>
        <w:rPr>
          <w:b/>
        </w:rPr>
        <w:t>E. 6.5</w:t>
      </w:r>
    </w:p>
    <w:p>
      <w:r>
        <w:t>Das BAG hat vorliegend einen TQV allein auf der Basis der FAP pro Gramm vorgenommen. Im Rahmen der Anwendung des Rechts von Amtes wegen ist nachfolgend zu prüfen, ob dieses Vorgehen (reiner Gewichtsvergleich) mit den rechtlichen Vorgaben vereinbar ist.</w:t>
      </w:r>
    </w:p>
    <w:p>
      <w:r>
        <w:rPr>
          <w:b/>
        </w:rPr>
        <w:t>E. 6.5.1</w:t>
      </w:r>
    </w:p>
    <w:p>
      <w:r>
        <w:t>Handelt es sich beim vom BAG durchgeführten TQV um einen reinen Gewichtsvergleich, welcher den aus den Fachinformationen hervorgehenden unterschiedlichen Dosierungsvorschriften der in den TQV einbezogenen Arzneimittel - sofern genügend präzise formuliert - nicht Rechnung trägt, besteht nach der Rechtsprechung des Bundesverwaltungsgerichts kein Raum für eine «praxisnahe Annahme» der durchschnittlichen Tages-therapiekosten. Fehlen genaue Dosierungsvorschriften, hat das BAG die approximativ angenommenen Kosten auf sachgerechte und nachvollziehbare Weise zu begründen (vgl. Urteile des BVGer C-7112/2017 vom 26. September 2019 E. 7.4.2; C-595/2015 vom 19. Juni 2018 E. 8.2 - 8.4).</w:t>
      </w:r>
    </w:p>
    <w:p>
      <w:r>
        <w:rPr>
          <w:b/>
        </w:rPr>
        <w:t>E. 6.5.2</w:t>
      </w:r>
    </w:p>
    <w:p>
      <w:r>
        <w:t>Gemäss Art. 65b Abs. 4bis Bst. b KVV werden beim TQV die Kosten des Arzneimittels pro Tag oder Kur im Verhältnis zu den Kosten von Arzneimitteln, die zur Behandlung derselben Krankheit eingesetzt werden, überprüft. Das Bundesverwaltungsgericht hat im Urteil C-536/2015, C-537/2015 vom 6. Juni 2017 E. 10.5.3 im Zusammenhang mit der Überprüfung des TQV (unter dem Geltungsbereich der damals geltenden Regelung von aArt. 34 Abs. 2 Bst. b und c KLV) festgehalten, dass der TQV dazu diene, eine vergleichende Wertung respektive die (indirekte) Prüfung des Kosten-Nutzen-Verhältnisses vorzunehmen, und zwar sowohl bei der SL-Aufnahme als auch während der gesamten Verweildauer auf der SL.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den TQV (und der damit einhergehenden Kosten-Nutzen-Analyse) blieben bei der dreijährlichen Überprüfung nach aArt.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vorgenommen werde, handle es sich dabei nicht um einen rechtskonformen TQV. Er könne damit nicht rechtmässige Basis für eine Preissenkung sein (siehe auch Urteile des BVGer C-7112/2017 vom 26. September 2019 E. 7.4.1; C-595/2015 vom 19. Juni 2018 E. 8.1). Nach der Rechtsprechung des Bundesverwaltungsgerichts bildet ein TQV, welcher den unterschiedlichen Anwendungsvorschriften gemäss Fachinformation nicht Rechnung trägt, die aus den verschiedenen (von Swissmedic geprüften und genehmigten) Dosierungsangaben entsprechend unterschiedlich resultierenden Kosten pro Tag oder Kur der jeweiligen Arzneimittel nicht richtig ab (vgl. BVGer Urteile C-7112/2017 E. 7.4.2; C-595/2015 E. 8.3; C-536/2015, C-537/2015 E. 10.6.3). Das BAG habe sich an den behördlich genehmigten Texten der Fachinformationen sowie an den von der Zulassungsinhaberin vorgelegten Daten zum Präparat zu orientieren. Sofern die WZW-Kriterien erfüllt seien, dürften die Arzneimittel nur (aber immerhin) in den Grenzen der von Swissmedic zugelassenen Indikationen und Anwendungsvorschriften in die Spezialitätenliste aufgenommen werden (Urteil C-595/2015 E. 8.2). Hinsichtlich derjenigen Arzneimittel, für welche in den Fachinformationen keine genauen Dosierungsvorschriften vorhanden seien, könne die Bestimmung der Tagesdosis in der Regel lediglich approximativ erfolgen. Im Rahmen der Untersuchungspflicht habe die Bestimmung der Tagesdosen auf sachgerechte und nachvollziehbare Weise zu erfolgen (vgl. Urteile C-7112/2017 E. 7.4.1; C-595/2015 E. 8.4).</w:t>
      </w:r>
    </w:p>
    <w:p>
      <w:r>
        <w:rPr>
          <w:b/>
        </w:rPr>
        <w:t>E. 6.5.3</w:t>
      </w:r>
    </w:p>
    <w:p>
      <w:r>
        <w:t>Aus der Fachinformation des Arzneimittels der Beschwerdeführerin geht hervor, dass ihr Präparat (... [nach den Anwendungsvorschriften zur Anwendung kommt]). Demnach sind Empfehlungen in Bezug auf die Häufigkeit der täglichen Anwendung vorhanden, nicht aber zur konkreten Menge. Unter dem Titel (...) wird angeführt, symptomatisch komme es oft (...) zu einer Besserung, weitere Angaben zur Therapiedauer fehlen ( https://compendium.ch/[...] &gt;, abgerufen am 11. Dezember 2019). Bezüglich der ebenfalls in den TQV einzubeziehenden H._______ geht aus den Fachinformationen hervor, dass das Präparat (... [nach den Anwendungsvorschriften zur Anwendung kommt]). Damit liegen - im Gegensatz zum Präparat der Beschwerdeführerin - konkrete Angaben zur Menge vor ( https://compendium.ch/[...] , abgerufen am 11. Dezember 2019). Die Anwendungsvorschriften zu F.________ lauten sodann, dies sei (... [nach den Anwendungsvorschriften anzuwenden]). Im Gegensatz zum Präparat H._______ fehlen konkrete Mengenangaben sowie Angaben zur Therapiedauer (&lt; https://compendium.ch/[...] &gt;, abgerufen am 11. Dezember 2019).</w:t>
      </w:r>
    </w:p>
    <w:p>
      <w:r>
        <w:rPr>
          <w:b/>
        </w:rPr>
        <w:t>E. 6.5.4</w:t>
      </w:r>
    </w:p>
    <w:p>
      <w:r>
        <w:t>Ein TQV, welcher den unterschiedlichen Anwendungsvorschriften gemäss Fachinformation nicht Rechnung trägt, bildet die entsprechend unterschiedlichen resultierenden Kosten pro Tag oder Kur der jeweiligen Arzneimittel nicht richtig ab. Die Kosten pro Tag sind daher in erster Linie gestützt auf die in den Fachinformationen aufgeführten genauen Dosierungsangaben zu ermitteln, wenn sich die durchschnittlichen Therapiekosten daraus berechnen lassen. Reichen die Informationen hierzu nicht aus, hat die Vorinstanz die von ihr vorgenommene approximative Schätzung nachvollziehbar zu begründen (vgl. E. 6.5.1 hiervor). Hierzu sind aufgrund fehlender Fachinformationen allenfalls weitere Erhebungen vorzunehmen. Der von der Vorinstanz vorgenommene Vergleich basiert auf einer Umrechnung der (kleinsten) Packungsmengen auf die Kosten pro Gramm. Eine Ermittlung der Kosten pro Tag geht weder aus der angefochtenen Verfügung noch aus den Vorakten hervor. Es kann indes nicht ohne eingehende Abklärung und Begründung angenommen werden, dass dieselbe Gewichts- bzw. Volumenmenge der zum TQV beigezogenen Präparate eine gleiche Wirkung bei der Behandlung derselben Krankheit hätten. Sollten die Abklärungen zum Ergebnis führen, dass die zum Vergleich herangezogenen Präparate pro Gewichtseinheit dieselbe Wirkung hätten, wäre diese Schlussfolgerung nachvollziehbar zu begründen. Die Vorinstanz legt aber nicht dar, inwiefern die von ihr vorgenommene Umrechnung auf ein Gramm sachgerecht die Therapiekosten pro Tag oder Kur abbildet. Eine solche Umrechnung liesse sich nur dann rechtfertigen, wenn die nach Massgabe der Anwendungsvorschriften respektive (bei deren Fehlen) auf sachgerechte und nachvollziehbare Weise ermittelte Tagesdosis der zum Vergleich herangezogenen Arzneimittel identisch ausfallen würden und von einer gleichen Wirkungsweise auszugehen wäre. Berechnungen für die Ermittlung der Tagesdosis der hier zum TQV beizuziehenden Präparate liegen nicht vor und wurden - soweit ersichtlich - im vorinstanzlichen Verfahren auch nicht ermittelt. Auch mit Blick auf die unterschiedliche (... [Angaben zur Beschaffenheit]) erscheint es naheliegend, dass mehr oder weniger verwendet wird (vgl. Urteile des BVGer C-595/2015 E. 8.4 und C-7112/2017 E.7.4.2).</w:t>
      </w:r>
    </w:p>
    <w:p>
      <w:r>
        <w:rPr>
          <w:b/>
        </w:rPr>
        <w:t>E. 6.6</w:t>
      </w:r>
    </w:p>
    <w:p>
      <w:r>
        <w:t>Hinsichtlich des Erfordernisses der Wirksamkeit und der Kosten pro Tag oder Kur (Art. 65b Abs 4bis KVV) stellt demnach ein reiner Grammvergleich, wie ihn die Vorinstanz ungeachtet der unterschiedlichen beziehungsweise fehlenden Dosierungsvorschriften durchgeführt hat, keinen rechtskonformen TQV dar. Aus den Akten geht auch nicht hervor, weshalb ein Gramm eines jeden Präparats die gleiche Wirkung entfalte. Nach dem Gesagten hat die Vorinstanz ergänzende Abklärungen vorzunehmen, um für die einzelnen Präparate möglichst sachgerechte Tagesdosen bzw. die Kosten pro Kur zu bestimmen. Dabei steht es in ihrem weiten Ermessen, wie sie die erforderlichen Informationen einholt. Allerdings ist sie darauf hinzuweisen, dass aufgrund ihres grossen Ermessens erhöhte Anforderungen an die Begründung eines Entscheids bestehen (vgl. Urteile des BVGer C-7112/2017 E. 7.4.2; C-595/2015 E. 8.4).</w:t>
      </w:r>
    </w:p>
    <w:p>
      <w:r>
        <w:rPr>
          <w:b/>
        </w:rPr>
        <w:t>E. 7.1</w:t>
      </w:r>
    </w:p>
    <w:p>
      <w:r>
        <w:t>Die Vorinstanz hat den APV mit dem Referenzland Deutschland durchgeführt. Daraus resultiert, dass der aktuelle FAP für die umsatzstärkste Packung in der Schweiz Fr. (...) betrage, wobei ein durchschnittlicher ausländischer Fabrikabgabepreis bei Fr. (...) und somit mehr als 50% unter dem schweizerischen Fabrikabgabepreis liege (vgl. angefochtene Verfügung, S. 5 und 8). Umstritten und nachfolgend zu prüfen ist, ob die Bestimmungen betreffend den APV korrekt angewendet wurden.</w:t>
      </w:r>
    </w:p>
    <w:p>
      <w:r>
        <w:rPr>
          <w:b/>
        </w:rPr>
        <w:t>E. 7.1.1</w:t>
      </w:r>
    </w:p>
    <w:p>
      <w:r>
        <w:t>Die Beschwerdeführerin bringt vor, das in Deutschland vertriebene Arzneimittel unterscheide sich in Bezug auf Namen, Indikation, Dosierung und präklinische Daten. Dieselbe Wirkstoffkombination (C._______ und J._______) sei auch in weiteren Arzneimitteln enthalten, weshalb nicht ersichtlich sei, warum die Vorinstanz auf «E._______» abgestellt habe. Zu den duplikweisen Ausführungen der Vorinstanz, es handle sich beim Vergleichspräparat um ein vergleichbares Arzneimittel, da es vormals von derselben Zulassungsinhaberin vertrieben worden sei, hielt die Beschwerdeführerin erneut fest, zwischen ihr und der Firma D._______, die das Arzneimittel in Deutschland vertreibe, bestünden keine vertraglichen Beziehungen (vgl. Urteil C-6146/2014 vom 28. September 2016 Sachverhalt Bst. B.b). Es sei darüber hinaus auch nicht bekannt, ob die D._______ die Rechte von derselben Zulassungsinhaberin erworben habe wie sie (die Beschwerdeführerin). Die Annahme der Vorinstanz, dass es sich beim Vergleichspräparat um das gleiche beziehungsweise ein im Rahmen des APV vergleichbares Arzneimittel handle, treffe nicht zu. Mangels alternativer gleicher Arzneimittel sei kein APV durchzuführen.</w:t>
      </w:r>
    </w:p>
    <w:p>
      <w:r>
        <w:rPr>
          <w:b/>
        </w:rPr>
        <w:t>E. 7.1.2</w:t>
      </w:r>
    </w:p>
    <w:p>
      <w:r>
        <w:t>Art. 34abis KLV («Auslandpreisvergleich: Referenzländer und Gegenstand des Vergleichs») sieht in Abs. 2 vor, dass mit dem gleichen Arzneimittel in den Referenzländern verglichen wird,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Unterschiedliche Indikationen in der Schweiz und in den Referenzländern werden nicht berücksichtigt (Art. 34abis Abs. 3 KLV). Gemäss Art. 34c KLV muss die Zulassungsinhaberin dem BAG den Fabrikabgabepreis der Referenzländer mitteilen.</w:t>
      </w:r>
    </w:p>
    <w:p>
      <w:r>
        <w:rPr>
          <w:b/>
        </w:rPr>
        <w:t>E. 7.1.3</w:t>
      </w:r>
    </w:p>
    <w:p>
      <w:r>
        <w:t>Die Beschwerdeführerin rügt, es liege keine Namensgleichheit zwischen «B._______» und «E._______» vor. Die zufällige Übereinstimmung in einem Namensbestandteil reiche nicht aus, erst recht nicht, wenn der Name auch noch für andere Arzneimittel verwendet werde, wie sich anhand einer Abfrage im Arzneimittel-Informationssystem Deutschland zeige (vgl. Beschwerde, S. 11; Beilagen 7 und 8). Es sei auch nicht ersichtlich, weshalb die Vorinstanz auf das Vergleichsprodukt abgestellt habe, da es noch andere Arzneimittel anderen Namens aber mit den gleichen Wirkstoffen gebe.</w:t>
      </w:r>
    </w:p>
    <w:p>
      <w:r>
        <w:rPr>
          <w:b/>
        </w:rPr>
        <w:t>E. 7.1.4</w:t>
      </w:r>
    </w:p>
    <w:p>
      <w:r>
        <w:t>Wie die Vorinstanz in ihrer Vernehmlassung festgehalten hat, kann der APV unabhängig von der Bezeichnung des Arzneimittels im Referenzland erfolgen (vgl. E. 7.1.2 hiervor). Nachdem die Beschwerdeführerin im Vorverfahren keine vergleichbaren Arzneimittel bekanntgegeben hat, hat die Vorinstanz ein Vergleichsprodukt in Deutschland identifiziert und dessen Fabrikabgabepreis für den APV herangezogen (vgl. Ziff. C.3.9 des SL-Handbuchs zum «APV von Amtes wegen»). Da die Vorinstanz dabei die Vorgaben beachtet hat, kann keine fehlerhafte Rechtsanwendung festgestellt werden. Dass es darüber hinaus in Deutschland mehrere Arzneimittel mit vergleichbarem Namensbestandteil gebe, beziehungsweise Arzneimittel anderer Bezeichnung mit gleichen Wirkstoffen, vermag keine rechtswidrige Durchführung des APV anhand des streitgegenständlichen Vergleichspräparats darzulegen. Wie bereits im Urteil C-6146/2014 vom 28. September 2016 E. 5.2 festgehalten, entspricht das Arzneimittel der Beschwerdeführerin dem Vergleichspräparat hinsichtlich der Wirkstoffe. Die Umrechnung anhand der am ehesten vergleichbaren Packungsgrösse ist ebenso nicht zu beanstanden und es kann vollumfänglich auf die Feststellungen im genannten Rückweisungsentscheid verwiesen werden (a.a.O. E. 5.3).</w:t>
      </w:r>
    </w:p>
    <w:p>
      <w:r>
        <w:rPr>
          <w:b/>
        </w:rPr>
        <w:t>E. 7.1.5</w:t>
      </w:r>
    </w:p>
    <w:p>
      <w:r>
        <w:t>Auch die Bestreitung der behaupteten ursprünglich gleichen Lizenzgeberin vermag die nicht zu beanstandende Wahl des vorliegenden Vergleichspräparats zu ändern. Wie bereits im Rückweisungsentscheid festgehalten, setzt der APV nicht voraus, dass die ausländische Zulassungsinhaberin wirtschaftlich oder rechtlich mit der schweizerischen Zulassungsinhaberin verbunden ist (a.a.O. E. 5.1.2). Nach Rechtsprechung des Bundesverwaltungsgerichts vermag auch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Urteile des BVGer C-356/2013 vom 24. November 2016 E. 7.5; C-6594/2012 vom 31. März 2016 E. 6.3; C-7112/2017 vom 26. September 2019 E. 6.4.8).</w:t>
      </w:r>
    </w:p>
    <w:p>
      <w:r>
        <w:rPr>
          <w:b/>
        </w:rPr>
        <w:t>E. 7.1.6</w:t>
      </w:r>
    </w:p>
    <w:p>
      <w:r>
        <w:t>Die Beschwerdeführerin macht im vorliegenden Beschwerdeverfahren weiter geltend, das Vergleichspräparat unterscheide sich hinsichtlich der Indikation. Im Gegensatz zum Arzneimittel der Beschwerdeführerin sei das Vergleichspräparat nur auf die Behandlung von (... [Angaben zur Krankheit]) beschränkt. Zur Stellungnahme der Vorinstanz, wonach gemäss Art. 34abis Abs. 3 KLV unterschiedliche Indikationen in der Schweiz und in den Referenzländern nicht berücksichtigt werden, ist festzuhalten, dass gemäss Ziff. 3.8 SL-Handbuch unterschiedliche Indikationen dann nicht berücksichtigt werden, wenn die Zulassung der Arzneimittel in der Schweiz und in den Referenzländern auf denselben klinischen Studien beruht. Im vorliegenden Verfahren hat die Beschwerdeführerin bestritten, dass sie und die Firma, welche das Arzneimittel in Deutschland vertreibe, die Zulassungen von der gleichen Zulassungsinhaberin erworben hätten. Im vorliegenden Fall wird aber das Arzneimittel ohnehin - im Gegensatz zum Vorbringen der Beschwerdeführerin - auch in Deutschland zur Behandlung von (... [Angaben zur Indikation]) eingesetzt. Laut aktueller Fachinformation hat sich an den Feststellungen im Urteil C-6146/2014 E. 5.2.1 zur Indikation der in Deutschland vertriebenen E._______ nichts geändert (vgl. https://www.gelbe-liste.de/[...], abgerufen am 11. Dezember 2019). Demnach können (... [Angaben zur Krankheit]). Der Wirkstoff C._______ diene zur Vorbeugung und Behandlung von (... [Angaben zur Indikation]). Auch kann aus der Angabe zur Dosierung, wonach E._______ (... [Angaben zur Anwendung]), nicht auf eine fehlende Vergleichbarkeit mit dem Arzneimittel der Beschwerdeführerin geschlossen werden. Auch diesbezüglich ist keine unsachliche Ausübung der Wahl des Vergleichspräparats erkennbar.</w:t>
      </w:r>
    </w:p>
    <w:p>
      <w:r>
        <w:rPr>
          <w:b/>
        </w:rPr>
        <w:t>E. 7.1.7</w:t>
      </w:r>
    </w:p>
    <w:p>
      <w:r>
        <w:t>Insoweit die Beschwerdeführerin im Vorverfahren und in der Beschwerde geltend macht, beim Vergleichspräparat handle es sich mutmasslich um ein Generikum, ist festzuhalten, dass die Vorinstanz beim APV von Amtes wegen die in Ziff. C.3.2 des SL-Handbuchs genannten Quellen berücksichtigt. Da es im vorliegenden Fall zu einer Rückweisung kommt (vgl. E. hiernach), erhält die Vorinstanz in Bezug auf den APV Gelegenheit, darüber Auskunft zu erteilen, ob in den von ihr verwendeten Quellen Hinweise auf ein Generikum enthalten sind.</w:t>
      </w:r>
    </w:p>
    <w:p>
      <w:r>
        <w:rPr>
          <w:b/>
        </w:rPr>
        <w:t>E. 8</w:t>
      </w:r>
    </w:p>
    <w:p>
      <w:r>
        <w:t>Im konkreten Fall hat die Vorinstanz im Rahmen des TQV ohne entsprechende Rechtsgrundlage respektive ohne nachvollziehbare Begründung einen einfachen Gramm-Vergleich vorgenommen, ohne dabei die Wirksamkeit der zu vergleichenden Präparate und die Kosten pro Tag oder Kur zu prüfen. Die angefochtene Verfügung vom 14. Dezember 2017 beruht daher nicht auf einem rechtskonform durchgeführten TQV. Die Beschwerde ist demnach dahingehend gutzuheissen, als die angefochtene Verfügung aufgehoben und die Sache an die Vorinstanz zurückgewiesen wird, damit diese eine neue Überprüfung im Sinne der Erwägungen vornehme und einen neuen Entscheid betreffend das Präparat B._______ treffe. Darüber hinaus ergeben sich aus den Einwänden, beim Arzneimittel, welches zum APV herangezogen wurde, handle es sich mutmasslich um ein Generikum, offene Sachverhaltsfragen, die von der Vorinstanz unter Heranziehung ihrer Quellen zu klären sind.</w:t>
      </w:r>
    </w:p>
    <w:p>
      <w:r>
        <w:rPr>
          <w:b/>
        </w:rPr>
        <w:t>E. 9</w:t>
      </w:r>
    </w:p>
    <w:p>
      <w:r>
        <w:t>Festzuhalten bleibt, dass das BAG einer allfälligen Beschwerde gegen seine Verfügung vom 14. Dezember 2017 die aufschiebende Wirkung nicht entzogen hat, weshalb B._______ bis heute (provisorisch) auf dem bisherigen Preisniveau in der SL geführt wurde (vgl. dazu &lt; htttp://www.spezialitätenliste.ch &gt;, abgerufen am 11. Dezember 2019). Das BAG ist mit dem vorliegenden Urteil gehalten, eine neue Preisüberprüfung für dieses Arzneimittel im Sinne der Erwägungen vorzunehmen.</w:t>
      </w:r>
    </w:p>
    <w:p>
      <w:r>
        <w:rPr>
          <w:b/>
        </w:rPr>
        <w:t>E. 10</w:t>
      </w:r>
    </w:p>
    <w:p>
      <w:r>
        <w:t>Damit bleibt über die Verfahrenskosten und die Parteientschädigung zu befinden.</w:t>
      </w:r>
    </w:p>
    <w:p>
      <w:r>
        <w:rPr>
          <w:b/>
        </w:rPr>
        <w:t>E. 10.1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Der obsiegenden, anwaltlich vertretenen Beschwerdeführerin ist gemäss Art. 64 Abs. 1 VwVG in Verbindung mit Art. 7 des Reglements vom 21. Februar 2008 über die Kosten und Entschädigungen vor dem Bundesverwaltungsgericht (VGKE, SR 173.320.2) eine Entschädigung für die ihr erwachsenen notwendigen und verhältnismassig hohen Kosten zuzusprechen. Der Rechtsvertreter der Beschwerdeführerin hat mit Kostennote vom 13. September 2018 (BVGer-act. 17) für die Bemühungen im Zeitraum vom 19. Dezember 2017 bis 4. Juli 2018 einen Betrag von insgesamt Fr. 13'810.90 geltend gemacht. Dieser Betrag setzt sich zusammen aus einem Honorar von Fr. 12'450.- (41.5 Stunden bei einem Stundenansatz von Fr. 300.-), Auslagen von Fr. 373.50 (3%) sowie einer Mehrwertsteuer von Fr. 987.- (7.7% auf Fr. 12'823.50). Zu prüfen ist, ob der Aufwand von mehr 41.5 Stunden als notwendig zu betrachten und demzufolge vollumfänglich zu entschädigen ist. Die Be-schwerdeführerin hat im Wesentlichen folgende Rechtsschriften ausarbeiten und einreichen lassen: Beschwerde (13 Textseiten inklusive Beweismittelauflistungen), Replik (9 Seiten), unaufgeforderte Eingabe vom 11. Juli 2018 (3 Seiten). Mit Blick auf diese Eingaben und die weiteren deklarierten Aufwendungen, namentlich Recherche, Aktenstudium und Korrespondenz mit der Beschwerdeführerin, erweist sich der dafür geltend gemachte Aufwand von 41.5 Stunden als zu hoch. Immerhin vertrat der Rechtsanwalt die Beschwerdeführerin bereits im Vorverfahren, weshalb Kenntnis der Sach- und Rechtslage grösstenteils vorausgesetzt werden darf. Hinzu kommt, dass die Rügen betreffend den APV aus dem vorangegangenen Beschwerdeverfahren (C-6126/2014) wiederholt werden mussten (vgl. etwa Vorbringen in der Replik, E. 7.1.1 hiervor), sohin ebenfalls als bekannt zu gelten haben. In der seitens der Beschwerdeführerin unaufgefordert eingereichten Eingabe vom 11. Juli 2018 werden im ersten Teil der Begründung ebenfalls Ausführungen zum Stand der Wissenschaften betreffend eine Behandlung mit dem strittigen Vergleichspräparat wiederholt. Wiederholungen in Rechtsschriften und Eingaben, in denen gegenüber den vorher eingereichten Rechtsschriften materiell nichts Neues vorgebracht wird, können nicht als notwendiger Aufwand entschädigt werden (vgl. Urteil BVGer C-6325/2013 vom 24. Oktober 2018 E. 8.2.4). Unter Berücksichtigung der obgenannten Umstände und mit Blick auf ähnlich gelagerte Fälle liegt der Aufwand für ein Beschwerdeverfahren wie das vorliegende in etwa bei 25 bis 30 Stunden und ist somit eine entsprechende Entschädigung als angemessen und gerechtfertigt anzusehen. Der geltend gemachte Stundenansatz von Fr. 300.- entspricht dem in der Regel vom Bundesverwaltungsgericht für Parteientschädigungen anerkannten Stundenansatz und ist daher nicht zu beanstanden. Zu den pauschal geltend gemachten Auslagen in der Höhe von Fr. 373.50 ist festzuhalten, dass Auslagen nicht in Prozenten des Stundenaufwandes geltend zu machen sind, vielmehr ist auf den tatsächlich und notwendig entstandenen Aufwand abzustellen (vgl. Urteil BVGer C-6325/2013 E. 8.2.2 m.w.H.). Unter Berücksichtigung des Verfahrensausgangs, des gebotenen und aktenkundigen Aufwands, der Bedeutung der Streitsache und der Schwierigkeit der zu beurteilenden Fragen erscheint daher für das vorliegende Verfahren bei dem genannten zeitlichen Aufwand und einem Stundenansatz von Fr. 300.- (Art. 10 Abs. 2 VGKE) eine Parteientschädigung von Fr. 9'000.- (inkl. Auslagen und Mehrwertsteuer; Art. 9 Abs. 1 in Verbindung mit Art. 10 Abs. 2 VGKE) als angemessen und ist zu Lasten der Vorinstanz zuzusprechen.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