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C-5845/2008 vom 6. Mai 2010</w:t>
      </w:r>
    </w:p>
    <w:p>
      <w:r>
        <w:t>Bundesverwaltungsgericht, 2010-05-06, DE</w:t>
      </w:r>
    </w:p>
    <w:p>
      <w:r>
        <w:rPr>
          <w:b/>
        </w:rPr>
        <w:t xml:space="preserve">Quelle: </w:t>
      </w:r>
      <w:r>
        <w:t>https://mcp.opencaselaw.ch/entscheid/bvger_C-5845_2008</w:t>
      </w:r>
    </w:p>
    <w:p>
      <w:r>
        <w:t>FR: TAF C-5845/2008 du 6 mai 2010</w:t>
      </w:r>
    </w:p>
    <w:p>
      <w:r>
        <w:t>IT: TAF C-5845/2008 del 6 maggio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materieller Verfügungsadressat zur Ergreifung des Rechtsmittels legitimiert (Art. 48 Abs. 1 VwVG). Auf die frist- und formgerecht eingereichte Beschwerde ist somit einzutreten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Gestützt auf Art. 67 Abs. 1 Bst. a AuG kann das BFM ein Einreiseverbot verhängen gegenüber ausländischen Personen, die gegen die öffentliche Sicherheit und Ordnung in der Schweiz oder im Ausland verstossen haben oder diese gefährden.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w:t>
      </w:r>
    </w:p>
    <w:p>
      <w:r>
        <w:rPr>
          <w:b/>
        </w:rPr>
        <w:t>E. 3.2</w:t>
      </w:r>
    </w:p>
    <w:p>
      <w:r>
        <w:t>Das Einreiseverbot beinhaltet keine Sanktion für vergangenes Fehlverhalten, sondern eine Massnahme zur Abwendung künftiger Störungen der öffentlichen Sicherheit und Ordnung (siehe Botschaft zum Bundesgesetz über die Ausländerinnen und Ausländer vom 8. März 2002, BBl 2002 3709, 3813). Die öffentliche Sicherheit und Ordnung im Sinne von Art. 67 Abs. 1 Bst. a AuG bildet den Oberbegriff für die Gesamtheit der polizeilichen Schutzgüter. Sie umfasst unter anderem die Unverletzlichkeit der objektiven Rechtsordnung (Botschaft, a.a.O., 3809; vgl. auch Art. 80 Abs. 1 Bst. a und Abs. 2 der Verordnung vom 24. Oktober 2007 über Zulassung, Aufenthalt und Erwerbstätigkeit [VZAE, SR 142.201] sowie Rainer J. Schweizer / Patrick Sutter / Nina Widmer, in: Rainer J. Schweizer [Hrsg.], Sicherheits- und Ordnungsrecht des Bundes, SBVR Bd. III/1, Basel 2008, Teil B, Rz. 13 mit Hinweisen). Somit kann eine Zuwiderhandlung gegen ausländerrechtliche Bestimmungen ein Einreiseverbot nach sich ziehen, dies im Sinne einer Massnahme zum Schutze vor künftigen Störungen.</w:t>
      </w:r>
    </w:p>
    <w:p>
      <w:r>
        <w:rPr>
          <w:b/>
        </w:rPr>
        <w:t>E. 3.3</w:t>
      </w:r>
    </w:p>
    <w:p>
      <w:r>
        <w:t>Allgemein gilt, dass für die Verhängung eines Einreiseverbots kein vorsätzlicher Verstoss gegen fremdenpolizeiliche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(vgl. Urteil des Bundesverwaltungsgerichts C-4463/2008 vom 29. April 2009 E. 5.4 mit Hinweisen).</w:t>
      </w:r>
    </w:p>
    <w:p>
      <w:r>
        <w:rPr>
          <w:b/>
        </w:rPr>
        <w:t>E. 4.1</w:t>
      </w:r>
    </w:p>
    <w:p>
      <w:r>
        <w:t>Der Beschwerdeführer wurde nach dem bereits Gesagten mit Strafbefehl vom 16. Juli 2008 wegen Verletzung ausländerrechtlicher Normen betr. Einreise, Aufenthalt und Erwerbstätigkeit zur Rechenschaft gezogen. Dabei ging der Strafbefehlsrichter von einer vorsätzlichen Vorgehensweise aus; der Beschwerdeführer sei mit der Absicht in die Schweiz eingereist, hier einer Erwerbstätigkeit nachgehen zu wollen und er habe gewusst, dass er dazu einer Zusicherung der zuständigen Bewilligungsbehörde bedurft hätte. Mit der rechtswidrigen Einreise sei auch der anschliessende Aufenthalt illegal gewesen und zudem habe der Beschwerdeführer eine Stelle angetreten im Bewusstsein der damit verbundenen Bewilligungspflicht, aber ohne vorgängig eine solche Bewilligung eingeholt zu haben.</w:t>
      </w:r>
    </w:p>
    <w:p>
      <w:r>
        <w:rPr>
          <w:b/>
        </w:rPr>
        <w:t>E. 4.2</w:t>
      </w:r>
    </w:p>
    <w:p>
      <w:r>
        <w:t>Der Beschwerdeführer bestreitet die Richtigkeit dieser Sachverhaltsfeststellung und der daraus gezogenen rechtlichen Würdigung. Er will lediglich eine - aus seiner Sicht geringfügige - Fahrlässigkeit gegen sich gelten lassen, indem er sich vor Antritt der Stelle nicht persönlich davon überzeugt habe, dass die Bewilligung auch tatsächlich vorliege. Nach dem bereits Gesagten (E. 3.3 vorstehend) lässt sich damit die Zulässigkeit einer Fernhaltemassnahme als solche aber nicht in Frage stellen. Denn es ist unbestritten, dass dem Beschwerdeführer die solchermassen illegale Erwerbstätigkeit und entsprechend auch der rechtswidrige Aufenthalt zu diesem Zweck zumindest im Sinne einer Fahrlässigkeit zurechenbar sind.</w:t>
      </w:r>
    </w:p>
    <w:p>
      <w:r>
        <w:rPr>
          <w:b/>
        </w:rPr>
        <w:t>E. 4.3</w:t>
      </w:r>
    </w:p>
    <w:p>
      <w:r>
        <w:t>Mit der Missachtung gesetzlicher Normen, denen im Rahmen der ausländerrechtlichen Ordnung zentrale Bedeutung zuzumessen ist, hat der Beschwerdeführer den Fernhaltegrund von Art. 67 Abs. 1 Bst. a AuG verwirklicht.</w:t>
      </w:r>
    </w:p>
    <w:p>
      <w:r>
        <w:rPr>
          <w:b/>
        </w:rPr>
        <w:t>E. 5.1</w:t>
      </w:r>
    </w:p>
    <w:p>
      <w:r>
        <w:t>Bei der Prüfung, ob die Massnahme im Einzelfall in richtiger Ausübung des Ermessens ergangen und angemessen ist, steht der Grundsatz der Verhältnismässigkeit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 / GEORG MÜLLER / FELIX UHLMANN, Allgemeines Verwaltungsrecht, 5. Aufl., Zürich / Basel / Genf 2006, Rz 613 ff.).</w:t>
      </w:r>
    </w:p>
    <w:p>
      <w:r>
        <w:rPr>
          <w:b/>
        </w:rPr>
        <w:t>E. 5.2</w:t>
      </w:r>
    </w:p>
    <w:p>
      <w:r>
        <w:t>Das Fehlverhalten des Beschwerdeführers wiegt objektiv nicht leicht, denn er hat damit Normen verletzt, die für die ausländerrechtliche Ordnung von zentraler Bedeutung sind. Aber auch was die subjektive Seite anbetrifft, ist sein Verhalten nicht zu bagatellisieren. Dass er im Zusammenhang mit dem Stellenantritt eine blosse Fahrlässigkeit begangen haben will, überzeugt aus mehreren Gründen nicht. Aus den Umständen zu schliessen hielt er sich nicht zum ersten Mal in der Schweiz auf. Zudem wusste er gemäss eigenem Bekunden offenbar schon vor seiner letzten Einreise von der Schwierigkeit, als beruflich nicht besonders qualifizierter Drittausländer hier zu einer Erwerbstätigkeit zugelassen zu werden. Kommt hinzu, dass er schon unmittelbar vor dem Stellenantritt Arbeitseinsätze leistete, offenbar ohne sich um die entsprechenden ausländerrechtlichen Voraussetzun-gen zu kümmern. Vor diesem Hintergrund sind ernsthafte Zweifel an der Bereitschaft oder Fähigkeit des Beschwerdeführers zur Respek-tierung der einschlägigen Rechtsordnung am Platz. Dementsprechend gewichtig ist das öffentliche Interesse an einer befristeten Fernhaltung zur Wahrung der öffentlichen Sicherheit und Ordnung.</w:t>
      </w:r>
    </w:p>
    <w:p>
      <w:r>
        <w:rPr>
          <w:b/>
        </w:rPr>
        <w:t>E. 5.3</w:t>
      </w:r>
    </w:p>
    <w:p>
      <w:r>
        <w:t>Dem öffentlichen Interessen gegenüber beruft sich der Beschwerdeführer auf seine privaten Interessen an ungehinderten Einreisen in die Schweiz. Hier lebe seine Freundin, mit der er seit Jahren eine Beziehung habe und der es nur schwer möglich sei, ihn in Brasilien zu besuchen. Diese Interessen sind insofern zu relativieren, als der Beschwerdeführer nicht dartun kann, dass die Fernhaltemass-nahme adäquate Kontakte zu seiner Partnerin verunmöglicht. Und selbst wenn davon ausgegangen werden müsste, dass solche Kontak-te nur durch eine persönliche Anwesenheit des Beschwerdeführers in der Schweiz sicherzustellen wären, hätte die Möglichkeit bestanden, bei der Vorinstanz einzelfallweise Suspensionen zu beantragen (Art. 67 Abs. 4 AuG), eine Möglichkeit, von der der Beschwerdeführer offensichtlich keinen Gebrauch gemacht hat.</w:t>
      </w:r>
    </w:p>
    <w:p>
      <w:r>
        <w:rPr>
          <w:b/>
        </w:rPr>
        <w:t>E. 5.4</w:t>
      </w:r>
    </w:p>
    <w:p>
      <w:r>
        <w:t>Eine wertende Gewichtung der sich entgegenstehenden öffentli-chen und privaten Interessen führt das Bundesverwaltungsgericht zum Schluss, dass das auf zwei Jahre befristete Einreiseverbot eine verhältnismässige und angemessene Massnahme zum Schutz der öffent-lichen Sicherheit und Ordnung darstellt.</w:t>
      </w:r>
    </w:p>
    <w:p>
      <w:r>
        <w:rPr>
          <w:b/>
        </w:rPr>
        <w:t>E. 6</w:t>
      </w:r>
    </w:p>
    <w:p>
      <w:r>
        <w:t>Aus diesen Erwägungen ergibt sich, dass die angefochtene Verfügung Bundesrecht nicht verletzt, den rechtserheblichen Sachverhalt richtig und vollständig feststellt und auch angemessen ist (Art. 49 VwVG). Die Beschwerde ist daher abzuweisen.</w:t>
      </w:r>
    </w:p>
    <w:p>
      <w:r>
        <w:rPr>
          <w:b/>
        </w:rPr>
        <w:t>E. 7</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