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C-5833/2010 vom 16. Juni 2011</w:t>
      </w:r>
    </w:p>
    <w:p>
      <w:r>
        <w:t>Bundesverwaltungsgericht, 2011-06-16, DE</w:t>
      </w:r>
    </w:p>
    <w:p>
      <w:r>
        <w:rPr>
          <w:b/>
        </w:rPr>
        <w:t xml:space="preserve">Quelle: </w:t>
      </w:r>
      <w:r>
        <w:t>https://mcp.opencaselaw.ch/entscheid/bvger_C-5833_2010</w:t>
      </w:r>
    </w:p>
    <w:p>
      <w:r>
        <w:t>FR: TAF C-5833/2010 du 16 juin 2011</w:t>
      </w:r>
    </w:p>
    <w:p>
      <w:r>
        <w:t>IT: TAF C-5833/2010 del 16 giugno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über das Verwaltungsverfah­ren vom 20. Dezember 1968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 BGE 135 II 369 E. 3.3).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4</w:t>
      </w:r>
    </w:p>
    <w:p>
      <w:r>
        <w:t>Die inlän­dischen Bestim­mun­gen über das Visumsverfahren und über die Ein- und Ausreise finden Anwendung, sofern die Schengen-Assozi­ierungs­abkommen keine abwei­chenden Bestimmungen enthalten (vgl. Art. 2 Abs. 4 und 5 AuG).</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5.2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5.3</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Aufgrund seiner Staatsangehörigkeit unterliegt der Beschwerdeführer damit der Visumspflicht. Daran hat auch die durch die Schweiz erfolgte Anerkennung des Kosovo als Staat nichts geändert.</w:t>
      </w:r>
    </w:p>
    <w:p>
      <w:r>
        <w:rPr>
          <w:b/>
        </w:rPr>
        <w:t>E. 6.1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6.2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Einen wichtigen Aspekt, der dagegen spricht, den Beschwerdeführer in die Schweiz einreisen zu lassen, stellt im dargelegten Kontext sein Her­kunftsland dar. Der Beschwerdeführer lebt in der inzwischen unabhängi­gen und von der Schweiz als Staat anerkannten Republik Ko­sovo. Die Sicherheits­lage in dieser Region konnte zwar im Verlaufe der letz­ten Jahre weit­gehend stabilisiert werden und der Wiederaufbau von Ad­ministration und Infrastruktur ist unter Beteiligung internationaler Organisa­tionen und Staatengemeinschaften in Gang gekommen. In wirt­schaftlicher Hin­sicht ist das Land jedoch eines der ärmsten in Europa; es herrscht wirtschaftliche Stagnation und die Arbeitslosigkeit bleibt hartnä­ckig hoch. So sind mehr als die Hälfte der Erwerbsfähigen ohne oder zu­min­dest ohne regelmässiges Einkommen. Der Armutsanteil der Be­völke­rung im Kosovo liegt bei 45%; 17% der Staatsbürger leben sogar in extre­mer Armut (vgl. Weltbank, www.worldbank.org &gt; Countries &gt; Kosovo &gt; Overview &gt; Country Brief 2010, Stand: Oktober 2010, be­sucht im Mai 2011). Vor dem Hintergrund der fortbestehenden ungünstigen Lebensverhältnisse ist - vor allem bei jüngeren und ungebundenen Personen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Es gilt nach Möglichkeit zu verhindern, dass Gesuchsteller ihre Anwesenheit in der Schweiz - entgegen der ursprünglichen Absichtserklärung - dazu nutzen, ein Asylgesuch einzureichen oder die fristgerechte Wie­derausreise auf andere Weise zu umgehen. Der Zuwanderungsdruck spiegelt sich denn auch in der schweizerischen Asylstatistik wieder: So stammten im Jahre 2009 4.3% der Asylsuchenden aus dem Kosovo, der damit in der Statistik der Asylgesuche nach Nationen - mit insgesamt 694 Gesuchen - an siebter Stelle stand (vgl. kommentierte BFM-Asylstatistik 2009, S. 10). Seit dem 1. April 2009 gilt der Kosovo zwar als verfol­gungssicherer Staat (Safe Country), dies gemäss Beschluss des Bundes­rates vom 6. März 2009. Es wird sich aber zeigen müssen, ob und falls ja, welchen Einfluss dies auf künftige Asylbewerberzahlen ha­ben wird. Im Jahre 2010 stellten immer noch 602 Personen aus diesem Land ein Asylgesuch in der Schweiz, womit der Kosovo an achter Stelle der Herkunftsländer von Asylsuchenden liegt (vgl. kom­mentierte BFM-Asylstatistik 2010, S. 10).</w:t>
      </w:r>
    </w:p>
    <w:p>
      <w:r>
        <w:rPr>
          <w:b/>
        </w:rPr>
        <w:t>E. 6.4</w:t>
      </w:r>
    </w:p>
    <w:p>
      <w:r>
        <w:t>Bei der Risikoanalyse sind aber nicht nur solch allgemeine Umstände und Erfahrungen, sondern auch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Gesuchstellern,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7.1</w:t>
      </w:r>
    </w:p>
    <w:p>
      <w:r>
        <w:t>Bei dem im Kosovo lebenden Beschwerdeführer handelt es sich um einen 38-jährigen, unverheirateten Mann. Aus den während des Beschwerdeverfahrens eingereichten UNMIK-Bescheinigungen vom 5. August 2009, 31. Mai 2010 und 10. August 2010 geht hervor, dass er mit seinen Eltern und weiteren (volljährigen) Geschwistern in Hausgemeinschaft lebt. Irgendwelche Indizien für das Bestehen eines besonderen Betreuungsbedarfs, der nur durch den Beschwerdeführer selbst abgedeckt werden könnte, sind aus den Akten allerdings nicht ersichtlich und werden auch nicht geltend gemacht. Es kann demnach nicht davon ausgegangen werden, im persönlichen oder familiären Umfeld des Beschwerdeführers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7.2</w:t>
      </w:r>
    </w:p>
    <w:p>
      <w:r>
        <w:t>Auch die wirtschaftlichen Verhältnisse bieten keine besondere Gewähr für eine fristgerechte Wiederausreise, ging doch der Beschwerdeführer im Zeitpunkt der Gesuchseinreichung keiner geregelten Erwerbstätigkeit nach (vgl. Ziff. 19 und 20 des persönlichen Einreisegesuches). Belege, mit denen sich zuverlässige Rückschlüsse auf die wirtschaftlichen Verhältnisse, in denen der Beschwerdeführer lebt, ziehen lassen, liegen keine vor. Vor diesem Hintergrund müssen die Beteuerungen auf Beschwerdeebene, wonach genügend Garantien für eine fristgerechte Wiederausreise vorhanden seien, als nicht ausschlaggebend bezeichnet werden. Dies umso weniger, als die von der Schweizervertretung sowie der Vorinstanz in ihrer Vernehmlassung geäusserten Zweifel am Aufenthaltszweck, die vom Beschwerdeführer im Verlaufe des Verfahrens nicht ausgeräumt werden konnten, als durchaus begründet erscheinen.</w:t>
      </w:r>
    </w:p>
    <w:p>
      <w:r>
        <w:rPr>
          <w:b/>
        </w:rPr>
        <w:t>E. 7.3</w:t>
      </w:r>
    </w:p>
    <w:p>
      <w:r>
        <w:t>Bei der Risikoeinschätzung mit zu berücksichtigen sind aber auch die bisherigen Erfahrungen, die mit dem betroffenen Beschwerdeführer ge­macht wurden. Tatsache ist, dass dieser während sei­nes früheren Aufenthaltes in der Schweiz zu ernsthaften Klagen An­lass gegeben hat. Laut Strafbescheid des Bezirksamtes Werdenberg/SG vom 3. Juli 1997 wurde der Beschwerdeführer wegen mehrfacher Drohung, mehrfacher versuchter Nötigung sowie wegen mehrfachen Missbrauchs des Telefons zu einer achtwöchigen (bedingten) Gefängnisstrafe verurteilt. Dieser hatte während Monaten direkt oder über Familienangehörige seine Ex-Freundin, eine Schweizerbürgerin, bedroht, um in Bezug auf seinen leiblichen Sohn ein Besuchsrecht zu erwirken und die Kindsmutter zur Wiederaufnahme der partnerschaftlichen Beziehung zu bewegen. Um seiner Forderung Nachdruck zu verleihen, scheute er auch nicht vor der Aussage zurück, es wäre für ihn ein Leichtes, seinen Sohn nach Jugoslawien entführen zu lassen. Aufgrund derselben Tatbestände erfolgte am 10. Oktober 1997 eine weitere Verurteilung des Beschwerdeführers zu einer dreimonatigen Gefängnisstrafe mit Widerruf der bedingt ausgesprochen Gefängnisstrafe vom 3. Juli 1997, nachdem er seiner Ex-Freundin mehrmals telefonisch gedroht hatte, sie zu töten, falls sie sich nicht seinem Willen gemäss verhalte. Nach Austritt aus dem Strafvollzug wurde der Beschwerdeführer am 28. Januar 1998 nach Belgrad ausgeschafft und vom damaligen Bundesamt für Ausländerfragen (BFA, heute: BFM) mit einer fünfjährigen Einreisesperre belegt. Am 28. Juli 1999 stellte der Beschwerdeführer ein neues Asylgesuch, diesmal im Fürstentum Liechtenstein. Nachdem die gegen ihn am 25. April 2000 von den liechtensteinischen Behörden verfügte Wegweisung in Rechtskraft erwachsen war und der Ausländer die Ausreisefrist ungenutzt hatte verstreichen lassen, wurde er in Ausschaffungshaft gesetzt. Am 16. August 2000 erfolgte seine zwangsweise, polizeilich begleitete Rückführung nach Pristina. Aufgrund der in der Vergangenheit mit dem Beschwerdeführer gemachten schlechten Erfahrungen verweigerte die zuständige Vormundschaftsbehörde - in Anwendung der massgeblichen gesetzlichen Bestimmungen (vgl. Art. 273 ff. des Schweizerischen Zivilgesetzbuches vom 10. Dezember 1907 [ZGB, SR 210]) und in besonderer Berücksichtigung des Kindeswohls - dem Kindsvater die Einräumung eines Besuchsrechts (vgl. Entscheid der Vormundschaftsbehörde X._______ vom 17. November 2003). Seither versucht der Beschwerdeführer mit unzähligen Eingaben und Telefonanrufen, massiven Druck auf Vormundschafts-, Migrations- und Gerichtsbehörden auszuüben, um ein Besuchsrecht für seinen Sohn zu erstreiten bzw. ein Einreisevisum für die Schweiz zu erwirken, wobei er auch vor unlauteren Mitteln nicht zurückschreckte. Nachdem er die Vormundschaftsbehörde sowie seine Ex-Freundin ultimativ, jedoch vergeblich aufgefordert hatte, für ihn eine Garantieerklärung zu unterschreiben, liess er am 2. April 2004 der Gemeinde X._______ namens der Kindsmutter ein von ihm selbst verfasstes Einladungsschreiben zugehen, welches er mit einer gefälschten Unterschrift (seiner Ex-Partnerin) versehen hatte.</w:t>
      </w:r>
    </w:p>
    <w:p>
      <w:r>
        <w:rPr>
          <w:b/>
        </w:rPr>
        <w:t>E. 7.4</w:t>
      </w:r>
    </w:p>
    <w:p>
      <w:r>
        <w:t>Unter diesen Umständen durfte die Vorinstanz zu Recht davon aus­gehen, die Wiederausreise des Beschwerdeführers nach einem Be­suchsaufenthalt sei im Sinne der massgeblichen Bestimmungen nicht hinreichend gesichert. Es ist von einer reellen Gefahr auszuge­hen, dass der Beschwerdeführer, welcher im Kosovo über keine besonde­ren beruf­lichen oder familiären Verpflichtungen verfügt, in der Schweiz wiederholt straffällig geworden ist und bereits zweimal in sein Heimatland ausgeschafft werden musste, sich auch bei erneuter Ein­reise einer Rückkehr in den Kosovo widersetzen und einen dauerhaf­ten Aufenthalt in der Schweiz anstreben würde. So forderte er seine frü­here Partnerin in einem Schreiben vom 17. November 2008 explizit auf, dafür zu sorgen, dass er ein Bleiberecht in der Schweiz erhalte. Ent­sprechend hielt denn auch das Vormundschaftsamt Y._______ gegen­über dem Beschwerdeführer wie auch der Vorinstanz fest, aufgrund der gemachten Erfahrungen müsse davon ausgegangen werden, dass für den Beschwerdeführer ganz offensichtlich nicht das Kindeswohl, son­dern eine Aufenthaltsregelung in der Schweiz im Vordergrund stehe (vgl. die entsprechenden Schreiben vom 23. Februar 2009 und 24. April 2009).</w:t>
      </w:r>
    </w:p>
    <w:p>
      <w:r>
        <w:rPr>
          <w:b/>
        </w:rPr>
        <w:t>E. 8.1</w:t>
      </w:r>
    </w:p>
    <w:p>
      <w:r>
        <w:t>Der Beschwerdeführer bringt vor, die Verwirklichung persönlicher Kon­takte zwischen ihm und seinem ausserehelichen Sohn setze seine Einreise in die Schweiz voraus. Dem öffentlichen Interesse an der Einhaltung der Einreisevorschriften steht somit das vom Beschwerdeführer geltend ge­machte Interesse an einem von staatli­chen Eingriffen ungestörten Fa­milienleben gegenüber, welches in all­gemeiner Weise von Art. 13 der Bundesverfassung der Schweizeri­schen Eidgenossenschaft vom 18. April 1999 (BV, SR 101) und Art. 8 der Konvention zum Schutze der Menschenrechte und Grundfreiheiten vom 4. November 1950 (EMRK, SR 0.101) geschützt wird. Damit stellt sich die Frage, ob die Verweige­rung der Einreise vor diesen Bestim­mungen standhält.</w:t>
      </w:r>
    </w:p>
    <w:p>
      <w:r>
        <w:rPr>
          <w:b/>
        </w:rPr>
        <w:t>E. 8.2</w:t>
      </w:r>
    </w:p>
    <w:p>
      <w:r>
        <w:t>Der Schutzbereich des Familienlebens im Sinne der genannten Normen umfasst einerseits Konstellationen, in denen es um die Anwe­senheitsregelung bzw. den Aufenthaltsanspruch von Familienmitglie­dern geht. Andererseits werden aber auch Konstellationen abge­deckt, die keinen Zusammenhang mit einem Anwesenheitsanspruch haben (dazu Martin Bertschi/Thomas Gächter, Der Anwesenheits­anspruch auf­grund der Garantien des Privat- und Familienlebens, Schweizerisches Zentralblatt für Staats- und Verwaltungsrecht [ZBL], 2003, S. 241). Im vorliegenden Fall geht es um den persönlichen Kon­takt zwischen dem Beschwerdeführer und seinem in der Schweiz lebenden, minderjährigen Sohn. Die Pflege eines solchen Kontaktes im Rahmen von Be­suchsaufenthalten kann in den Schutzbereich von Art. 8 EMRK fallen (vgl. Urteil des Bundesgerichts 2A.10/2001 vom 11. Mai 2001 E. 2b).</w:t>
      </w:r>
    </w:p>
    <w:p>
      <w:r>
        <w:rPr>
          <w:b/>
        </w:rPr>
        <w:t>E. 8.3</w:t>
      </w:r>
    </w:p>
    <w:p>
      <w:r>
        <w:t>Die EMRK bzw. die BV garantieren indessen kein Recht auf Ein­reise oder auf Verwirklichung von Familienleben an einem bestimmten Ort (vgl. BGE 135 I 153 E. 2.1 [mit Hinweisen]; ferner Stephan Breitenmoser, in: Bern­hard Ehrenzeller/Philippe Mastronardi/Rainer J. Schweizer/Klaus A. Vallender, Die schweizerische Bundesverfassung, Zürich 2002, N. 25 zu Art. 13; Arthur Haefliger/Frank Schür­mann, Die Europäische Men­schenrechtskonvention und die Schweiz, Die Bedeu­tung der Konven­tion für die schweizerische Rechtspraxis, 2. Aufl., Bern 1999, S. 261). Ausserdem kann der Schutz des Familienlebens nur dann angerufen werden, wenn die Beziehung auch tatsächlich ge­lebt wird, sich der Beschwerdeführer somit auf eine intakte familiäre Beziehung zu seinem in der Schweiz niedergelassenen Sohn berufen kann, was anhand objektiv überprüfbarer Umstände nachzuweisen ist (vgl. BGE 124 II 361 E. 1b, BGE 122 II 385 E. 1c, BGE 120 Ib 1 E. 1, BGE 120 Ib 257 E. 1b, BGE 109 Ib 183 E. 2a).</w:t>
      </w:r>
    </w:p>
    <w:p>
      <w:r>
        <w:rPr>
          <w:b/>
        </w:rPr>
        <w:t>E. 8.4</w:t>
      </w:r>
    </w:p>
    <w:p>
      <w:r>
        <w:t>Nach Auffassung des Bundesverwaltungsgerichts beruft sich der Be­schwerdeführer, der sich anfänglich der Kindsanerkennung widersetzt hat, zu Unrecht auf seine Beziehung zum ausserehelichen Kind mit einer Schweizerbürgerin, bestand doch von allem Anfang an kein intaktes und gelebtes Verhältnis zu seinem mittlerweile fast 14-jäh­rigen Sohn. Soweit aus den Akten ersichtlich, kam es am 3. Juli 2000 - allerdings unter Schutzaufsicht - zu einer letzten persönlichen Begegnung zwischen dem Beschwerdeführer und seinem leiblichen Sohn. Der Beschwerdeführer kann somit frag­los aus Art. 8 EMRK bzw. Art. 13 Abs. 1 BV nichts zu seinen Gunsten ableiten, zumal sich aus den Akten keine Hinweise ergeben, wonach ihm die zuständigen Behörden mittlerweile ein Besuchsrecht eingeräumt hätten.</w:t>
      </w:r>
    </w:p>
    <w:p>
      <w:r>
        <w:rPr>
          <w:b/>
        </w:rPr>
        <w:t>E. 8.5</w:t>
      </w:r>
    </w:p>
    <w:p>
      <w:r>
        <w:t>Vor diesem Hintergrund ist die Ausstellung eines Besuchervisums, wie bereits das damals zuständige Eidgenössische Justiz- und Polizeidepartement (EJPD) in einem früheren Visumsverfahren des Beschwerdeführers zutreffend festgehalten hat (vgl. Departementsentscheid vom 2. März 2004), zwingend zu verweigern. Dies umso mehr, als zum heutigen Zeitpunkt - aus den in der Vernehmlassung genannten Gründen (vgl. Bst. F. des Sachverhalts) auch Sicherheitsbedenken im Sinne von Art. 5 Abs. 1 Bst. c AuG i.V.m. Art. 5 Abs. 1 Bst. e SGK der Erteilung einer Einreisebewilligung entgegenstehen.</w:t>
      </w:r>
    </w:p>
    <w:p>
      <w:r>
        <w:rPr>
          <w:b/>
        </w:rPr>
        <w:t>E. 9</w:t>
      </w:r>
    </w:p>
    <w:p>
      <w:r>
        <w:t>Aus den genannten Gründen ist somit nicht zu beanstanden, dass die Vorin­stanz das öffentliche Interesse sowie die Beachtung der geltenden Be­stimmungen entsprechend gewichtete und dem Beschwerdeführer die Ein­reise verweigerte. Die angefochtene Verfügung verletzt daher Bun­desrecht nicht. Der rechtserhebliche Sachverhalt wurde richtig und voll­ständig festgestellt und die Vorinstanz hat das ihr zustehende Er­messen pflichtgemäss und zutref­fend gehandhabt (Art. 49 VwVG). Die Be­schwerde ist demzufolge abzu­weisen.</w:t>
      </w:r>
    </w:p>
    <w:p>
      <w:r>
        <w:rPr>
          <w:b/>
        </w:rPr>
        <w:t>E. 10</w:t>
      </w:r>
    </w:p>
    <w:p>
      <w:r>
        <w:t>Entsprechend dem Ausgang des Verfahrens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