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C-5832/2023 vom 1. September 2023</w:t>
      </w:r>
    </w:p>
    <w:p>
      <w:r>
        <w:t>Bundesverwaltungsgericht, 2023-09-01, DE</w:t>
      </w:r>
    </w:p>
    <w:p>
      <w:r>
        <w:rPr>
          <w:b/>
        </w:rPr>
        <w:t xml:space="preserve">Quelle: </w:t>
      </w:r>
      <w:r>
        <w:t>https://mcp.opencaselaw.ch/entscheid/bvger_C-5832_2023_d20230901</w:t>
      </w:r>
    </w:p>
    <w:p>
      <w:r>
        <w:t>FR: TAF C-5832/2023 du 1 septembre 2023</w:t>
      </w:r>
    </w:p>
    <w:p>
      <w:r>
        <w:t>IT: TAF C-5832/2023 del 1 settembre 2023</w:t>
      </w:r>
    </w:p>
    <w:p>
      <w:pPr>
        <w:pStyle w:val="Heading2"/>
      </w:pPr>
      <w:r>
        <w:t>Regeste</w:t>
      </w:r>
    </w:p>
    <w:p>
      <w:r>
        <w:t>Rentenanspruch | Invalidenversicherung, Anspruch auf eine Invalidenrente, Verfügung der IVSTA vom 1. September 2023</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Parteienschädigung erhoben.</w:t>
      </w:r>
    </w:p>
    <w:p>
      <w:r>
        <w:rPr>
          <w:b/>
        </w:rPr>
        <w:t>E. 4</w:t>
      </w:r>
    </w:p>
    <w:p>
      <w:r>
        <w:t>Dieses Urteil geht an den Beschwerdeführer, die Vorinstanz und das Bundesamt für Sozialversicherungen. (Für die Rechtsmittelbelehrung wird auf die nächste Seite verwiesen.) Die Einzelrichterin: Der Gerichtsschreiber: Selin Elmiger-Necipoglu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