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C-5832/2011 vom 2. April 2014</w:t>
      </w:r>
    </w:p>
    <w:p>
      <w:r>
        <w:t>Bundesverwaltungsgericht, 2014-04-02, FR</w:t>
      </w:r>
    </w:p>
    <w:p>
      <w:r>
        <w:rPr>
          <w:b/>
        </w:rPr>
        <w:t xml:space="preserve">Quelle: </w:t>
      </w:r>
      <w:r>
        <w:t>https://mcp.opencaselaw.ch/entscheid/bvger_C-5832_2011</w:t>
      </w:r>
    </w:p>
    <w:p>
      <w:r>
        <w:t>FR: TAF C-5832/2011 du 2 avril 2014</w:t>
      </w:r>
    </w:p>
    <w:p>
      <w:r>
        <w:t>IT: TAF C-5832/2011 del 2 aprile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de la loi fédérale sur l'acquisition et la perte de la nationalité suisse du 29 septembre 1952 (LN, RS 141.0),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ATF 124 III 52 consid. 2a/aa et ATF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TAF C 186/2013 du 19 novembre 2013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132 II 113 consid. 3.1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Tribunal fédéral 1C_646/2013 du 7 novembre 2013 consid. 4.1.1 et jurisprudence citée; 1C_587/2013 du 29 août 2013 consid. 3.2.1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129 III 400 consid. 3.1 et références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(ATF 135 II précité, ibid., et les références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l'arrêt du Tribunal fédéral 1C_587/2013 précité, consid. 3.2.2).</w:t>
      </w:r>
    </w:p>
    <w:p>
      <w:r>
        <w:rPr>
          <w:b/>
        </w:rPr>
        <w:t>E. 5</w:t>
      </w:r>
    </w:p>
    <w:p>
      <w:r>
        <w:t>A titre préliminaire, le Tribunal constate que les conditions formelles de l'annulation de la naturalisation facilitée prévues à l'art. 41 LN sont réalisées dans le cas particulier. En effet, la naturalisation facilitée accordée le 20 octobre 2006 à A._______ a été annulée par l'ODM le 21 septembre 2011, soit avant l'échéance du délai légal,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Il appert par ailleurs que l'accord de l'autorité du canton d'origine, à savoir le canton de Fribourg, a été obtenu le 8 septembre 2011.</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A._______ avait obtenu la naturalisation facilitée sur la base de déclarations mensongères, voire d'une dissimulation de faits essentiels, et que l'intéressé n'avait apporté aucun élément probant permettant de renverser cette présomption. Par ailleurs, l'ODM a également relevé dans sa décision que la conception par le recourant d'un premier enfant, né au Kosovo en 2005, avec une autre femme que son épouse, suivie de la conception avec la même personne d'un deuxième enfant, né en 2008, signifiait que la communauté conjugale n'était pas stable au sens de la jurisprudence. L'examen des faits pertinents de la cause amène le Tribunal à une conclusion identique.</w:t>
      </w:r>
    </w:p>
    <w:p>
      <w:r>
        <w:rPr>
          <w:b/>
        </w:rPr>
        <w:t>E. 6.2</w:t>
      </w:r>
    </w:p>
    <w:p>
      <w:r>
        <w:t>En effet, A._______ est arrivé à Lausanne en août 1998. Il a épousé, le 7 juillet 2000, soit dix mois seulement après le rejet définitif de sa demande d'asile, B._______, de sept ans son aînée, et a obtenu une autorisation de séjour en raison de son statut d'époux d'une ressortissante helvétique. Le 29 août 2003, à peine arrivé au terme du délai légal de l'art. 27 al. 1 let. a LN, il a déposé une demande de naturalisation facilitée. Le 15 septembre 2006, il a signé, ainsi que son ex-épouse, une déclaration relative à la stabilité de leur mariage. En date du 20 octobre 2006, l'intéressé a obtenu la nationalité suisse. Le 1er novembre 2006, B._______ a pris un domicile séparé, dans le canton de Neuchâtel, pour des raisons professionnelles. Les époux se sont séparés en fin d'année 2007, soit quatorze mois après l'octroi de la naturalisation facilitée, ou même au début juillet 2007, soit moins de neuf mois plus tard (selon déterminations de A._______ des 14 février 2012 p. 5 et du 8 avril 2013 p. 4, selon lesquelles sa vie commune avait déjà pris fin au moment de la conception de son deuxième enfant). Ils ont introduit une requête commune de divorce avec accord complet sur les effets accessoires en février 2011 et leur union conjugale a été dissoute par jugement du 10 mai 2011. Les éléments précités et leur enchaînement chronologique rapide sont de nature à fonder la présomption selon laquelle, au moment de la signature de la déclaration commune et, a fortiori, lors de la décision de naturalisation, A._______ n'avait plus la volonté de maintenir une communauté conjugale stable au sens de l'art. 27 LN. Le Tribunal relève qu'entre l'octroi de la naturalisation facilitée (20 octobre 2006) et la fin de la communauté conjugale (fin d'année 2007 ou début juillet 2007), il s'est écoulé quatorze mois - dans l'hypothèse la plus favorable au recourant - ce qui, au vu de la jurisprudence (cf. en ce sens arrêt du Tribunal fédéral 1C_674/2013 du 12 décembre 2013 consid. 3.3 et la jurisprudence citée), est de nature à fonder la présomption que cette naturalisation a été obtenue de manière frauduleuse.</w:t>
      </w:r>
    </w:p>
    <w:p>
      <w:r>
        <w:rPr>
          <w:b/>
        </w:rPr>
        <w:t>E. 6.3</w:t>
      </w:r>
    </w:p>
    <w:p>
      <w:r>
        <w:t>La présomption de fait fondée sur la chronologie relativement rapide des événements est corroborée au demeurant par le fait qu'à l'époque (1999) où le recourant a rencontré en Suisse B._______, il avait le statut de requérant d'asile. Le 8 septembre 1999, il a fait l'objet d'une décision de refus d'asile et de renvoi de Suisse, un délai pour quitter ce pays lui ayant été fixé au 31 mai 2000. Ainsi, les conditions de séjour du recourant en Suisse n'ont été réglées que suite à son mariage en juillet 2000 avec une ressortissante suisse, elle-même divorcée depuis le 2 février 2000. Le fait qu'une ressortissante suisse et un ressortissant étranger contractent mariage notamment afin de permettre au conjoint étranger d'obtenir une autorisation de séjour ne signifie pas nécessairement qu'ils n'ont pas formé une véritable union conjugale au sens de l'art. 27 al. 1 let. c LN. Cependant, dans ce contexte et in casu, la différence d'âge entre le recourant et son ex-épouse plus âgée (sept ans) constitue un indice supplémentaire du défaut de volonté de former une véritable union conjugale (cf. en ce sens arrêt du Tribunal fédéral 2C_339/2008 du 9 juin 2008 consid. 3.2).</w:t>
      </w:r>
    </w:p>
    <w:p>
      <w:r>
        <w:rPr>
          <w:b/>
        </w:rPr>
        <w:t>E. 6.4</w:t>
      </w:r>
    </w:p>
    <w:p>
      <w:r>
        <w:t>A cela s'ajoute le fait que lors de la déclaration commune du 15 septembre 2006, A._______ a tu un élément essentiel, à savoir la naissance le 16 septembre 2005 de son fils adultérin C._______, qu'il a reconnu au Kosovo le 26 mai 2006 et auquel il a donné à cette occasion son nom de famille "A._______" (cf. acte de reconnaissance du 26 mai 2006 et certificat de naissance du 29 juillet 2010). Or, selon la jurisprudence du Tribunal fédéral, le fait d'avoir tu la présence d'un enfant né hors mariage, lors de la déclaration commune, est un indice d'instabilité du couple, même si l'épouse en était informée (cf. arrêt du Tribunal fédéral 1C_27/2011 du 21 mars 2011 consid. 6.4 et jurisprudence citée).</w:t>
      </w:r>
    </w:p>
    <w:p>
      <w:r>
        <w:rPr>
          <w:b/>
        </w:rPr>
        <w:t>E. 6.4.1</w:t>
      </w:r>
    </w:p>
    <w:p>
      <w:r>
        <w:t>A ce propos, le recourant indique que la conception de son fils aîné au Kosovo "était l'histoire d'une seule nuit" et que son épouse avait su lui pardonner cette aventure (cf. courrier du 18 octobre 2010). Or, le Tribunal constate que si B._______ a certes déclaré, lors de son audition du 25 février 2011, que la naissance du premier enfant du recourant au Kosovo n'avait pas eu une incidence directe sur ses relations conjugales, elle a cependant précisé qu'il n'avait pas été facile pour elle d'apprendre la naissance de cet enfant, d'autant moins qu'elle savait qu'elle ne pouvait pas elle-même en avoir ("C'était un problème difficile à digérer mais je ne pouvais pas dire que c'était la faute de l'enfant"). Cela étant, l'épouse a quitté le domicile conjugal le 1er novembre 2006, soit un mois et demi après la déclaration commune, pour prendre domicile pour des raisons professionnelles dans le canton de Neuchâtel. Elle a indiqué que les réelles difficultés de son couple avaient commencé lorsqu'elle s'était installée à Neuchâtel fin 2006 et a mentionné que les problèmes conjugaux avaient consisté en "l'adultère" de sa part et de celle de son conjoint et au fait que celui-ci "se trouvait beaucoup trop souvent à Genève". Enfin, à propos de la naissance du premier enfant du recourant, elle a indiqué que ce n'était pas un hasard si elle avait parlé d'adultère. Au vu de ces déclarations, le Tribunal ne saurait suivre le recourant lorsqu'il affirme que le fait d'avoir conçu cet enfant hors mariage est resté sans incidences sur son union conjugale.</w:t>
      </w:r>
    </w:p>
    <w:p>
      <w:r>
        <w:rPr>
          <w:b/>
        </w:rPr>
        <w:t>E. 6.4.2</w:t>
      </w:r>
    </w:p>
    <w:p>
      <w:r>
        <w:t>Par ailleurs, peu de temps après avoir obtenu la nationalité suisse, A._______ est retourné dans son pays pour y concevoir un deuxième enfant, D._______, né le 10 avril 2008 de la même mère que le premier. Compte tenu de la durée de la grossesse, force est de constater que l'enfant D._______ a vraisemblablement été conçu dans le courant du mois de juillet 2007. A ce propos, A._______, qui a expliqué à l'ODM dans son courrier du 18 octobre 2010 avoir vécu en communauté conjugale avec son épouse jusqu'en fin d'année 2007, affirme dans ses écritures des 14 février 2012 et 8 avril 2013 que la conception de ce deuxième enfant était un fait postérieur à la fin de sa communauté conjugale et qu'il ne pouvait être employé pour réinterpréter fallacieusement le passé. Le recourant a même souligné que le fait qu'il ait pris contact avec la mère de l'enfant du fait de sa solitude consécutive à la fin de la communauté conjugale avec B._______ était une conséquence de cette fin et non une cause de celle-ci (cf. déterminations du 14 février 2012 p. 5 et du 8 avril 2013 p. 4). Le Tribunal constate ainsi que de l'aveu même du recourant, lorsqu'il est allé concevoir son deuxième enfant au Kosovo - vraisemblablement courant juillet 2007, soit environ neuf mois après qu'il ait obtenu la nationalité suisse - il considérait sa communauté conjugale avec B._______ comme définitivement terminée. Enfin, dans sa décision du 21 septembre 2011, l'ODM relevait également que "la mère des enfants de l'intéressé, E._______, et l'enfant né en 2005 ont, en été 2007 déjà, effectué une demande de visa pour entrer en Suisse, qui leur a été refusé". Cette affirmation n'a nullement été contestée par le recourant. Aussi l'assertion du recourant selon laquelle il formait une communauté conjugale stable et réelle lors de la signature de la déclaration commune (15 septembre 2006) est-elle fortement sujette à caution.</w:t>
      </w:r>
    </w:p>
    <w:p>
      <w:r>
        <w:rPr>
          <w:b/>
        </w:rPr>
        <w:t>E. 6.5</w:t>
      </w:r>
    </w:p>
    <w:p>
      <w:r>
        <w:t>Conformément à la jurisprudence précitée (cf. consid. 4.2 et 4.3), il incombe au recourant de renverser la présomption de fait que la naturalisation a été obtenue frauduleusement en rendant vraisemblable soit la survenance d'un évènement extraordinaire, susceptible d'expliquer une dégradation aussi rapide du lien conjugal, soit l'absence de conscience de la gravité de ses problèmes de couple au moment de la signature de la déclaration commune.</w:t>
      </w:r>
    </w:p>
    <w:p>
      <w:r>
        <w:rPr>
          <w:b/>
        </w:rPr>
        <w:t>E. 6.5.1</w:t>
      </w:r>
    </w:p>
    <w:p>
      <w:r>
        <w:t>A propos de la date et des raisons de la séparation du couple, le recourant peine à s'expliquer. Dans son courrier du 7 décembre 2011, il mentionne que la conception de son deuxième enfant est postérieure à la survenance des difficultés du couple. Il reproche ensuite à B._______ d'avoir fait la connaissance d'un autre homme, sans préciser la date de cette liaison, et affirme que depuis l'été 2007, voire l'automne 2007, il n'a plus connu de communauté conjugale stable et réelle avec elle (cf. courrier du 7 décembre 2011 p.7). Dans ses écritures des 14 février 2012 et 8 avril 2013, A._______ affirme plus péremptoirement que la conception de son deuxième enfant (vraisemblablement en juillet 2007) est un fait postérieur à la fin de sa communauté conjugale, sans toutefois expliquer les causes de la fin de sa communauté conjugale.</w:t>
      </w:r>
    </w:p>
    <w:p>
      <w:r>
        <w:rPr>
          <w:b/>
        </w:rPr>
        <w:t>E. 6.5.2</w:t>
      </w:r>
    </w:p>
    <w:p>
      <w:r>
        <w:t>Le Tribunal considère que ces allégations n'apparaissent pas convaincantes et qu'elles ne permettent pas d'infirmer ladite présomption. En tout état de cause, elles ne font référence à aucune circonstance propre à démontrer la survenance d'un événement extraordinaire postérieur à la décision de naturalisation et susceptible d'expliquer une dégradation aussi rapide du lien conjugal. Ainsi, il n'est pas crédible que la liaison de B._______ à laquelle fait allusion le recourant ait été de nature à provoquer, à elle seule, la désunion du couple, prétendument uni et stable durant de longues années.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 Or, en l'espèce, le recourant qui souligne que son épouse a su lui pardonner la naissance de son premier enfant adultérin né le 16 septembre 2005 au Kosovo (cf. courrier du 18 octobre 2010), n'a pour sa part entrepris aucun effort pour sauver son union conjugale. Au contraire, courant juillet 2007, il s'est rendu au Kosovo pour y concevoir un deuxième enfant avec la mère du premier.</w:t>
      </w:r>
    </w:p>
    <w:p>
      <w:r>
        <w:rPr>
          <w:b/>
        </w:rPr>
        <w:t>E. 6.5.3</w:t>
      </w:r>
    </w:p>
    <w:p>
      <w:r>
        <w:t>Au vu de ce qui précède, il y a tout lieu de déduire que la liaison de B._______ ne constituait pas le facteur prépondérant et décisif qui a conduit à la désunion du couple, l'instabilité de l'union conjugale devant être considérée comme latente déjà au moment de la signature de la déclaration sur la vie commune le 15 septembre 2006, ou à tout le moins lors de l'octroi de la naturalisation facilitée en faveur du recourant. Il ne s'agissait donc pas d'un événement extraordinaire, qui serait survenu de manière inattendue et subite, précisément quelques mois seulement après l'obtention de la nationalité suisse. Il convient de relever, ce qui est d'ailleurs symptomatique, l'absence de toute trace d'éventuels efforts entrepris par A._______ pour sauver l'union conjugale, alors qu'il trompait son épouse lors de ses séjours au Kosovo.</w:t>
      </w:r>
    </w:p>
    <w:p>
      <w:r>
        <w:rPr>
          <w:b/>
        </w:rPr>
        <w:t>E. 6.5.4</w:t>
      </w:r>
    </w:p>
    <w:p>
      <w:r>
        <w:t>Ainsi, force est d'admettre (malgré les autres arguments mis en avant dans le cadre de la procédure de recours, à savoir pour l'essentiel le fait que c'est pour des raisons professionnelles et non personnelles que B._______ a pris un domicile séparé dans le canton de Neuchâtel, de même que l'allégation selon laquelle les ex-époux, durant leur vie commune, étaient heureux ensemble, vivaient une vie de couple et entreprenaient des voyages communs) que le recourant n'a pas été en mesure de renverser ladite présomption en rendant vraisemblable la survenance d'un événement extraordinaire de nature à expliquer une détérioration rapide du lien conjugal, au sens indiqué plus haut (cf. ch. 4.3).</w:t>
      </w:r>
    </w:p>
    <w:p>
      <w:r>
        <w:rPr>
          <w:b/>
        </w:rPr>
        <w:t>E. 6.6</w:t>
      </w:r>
    </w:p>
    <w:p>
      <w:r>
        <w:t>Comme relevé ci-dessus, selon le Tribunal fédéral, l'existence d'un enfant né d'une relation extraconjugale peut constituer un indice de l'instabilité de la relation conjugale (arrêt du Tribunal fédéral 1C_27/2011 précité consid. 6.4.1). In casu, ce n'est pas un mais deux enfants que A._______ est allé concevoir dans son pays, en parallèle à sa vie d'homme marié en Suisse. Au demeurant, le fait que le recourant ait tu l'existence de son fils adultérin C._______ dans le cadre de la procédure de naturalisation facilitée, en particulier lors de la déclaration commune du 15 septembre 2006, est contraire à son devoir de collaborer et constitue une dissimulation de fait essentiel. Au vu du comportement adultère du recourant durant son mariage et de l'ensemble des éléments relatifs à la présomption de fait tels que relevés aux considérants qui précèdent, il n'apparaît pas vraisemblable que A._______ ait pu avoir, dans ces circonstances, la conviction que sa communauté conjugale était stable, effective et tournée vers l'avenir au moment de la déclaration écrite du 15 septembre 2006.</w:t>
      </w:r>
    </w:p>
    <w:p>
      <w:r>
        <w:rPr>
          <w:b/>
        </w:rPr>
        <w:t>E. 7</w:t>
      </w:r>
    </w:p>
    <w:p>
      <w:r>
        <w:t>Dans le cadre de la procédure de recours, A._______ a requis l'audition de B._______, ainsi que celle d'amis du couple à titre de témoin (cf. courriers des 7 décembre 2011 et 14 février 2012). En l'occurrence, le Tribunal estime que les faits de la cause sont suffisamment établis par les pièces figurant au dossier, de sorte qu'il ne s'avère pas indispensable de donner suite à ladite requête. A noter que B._______ a été entendue par les autorités cantonales neuchâteloises sur les circonstances de son mariage avec A._______ et sur les motifs de leur séparation en présence de son conjoint et que son procès-verbal d'audition du 25 février 2011 a été transmis au prénommé avec la possibilité de se déterminer. De plus, par son courrier du 18 octobre 2010 à l'ODM, son recours du 21 octobre 2011 et ses écritures des 7 décembre 2011, 14 février 2012 et 8 avril 2013, A._______ a pu verser au dossier plusieurs attestations écrites d'amis du couple et a pu présenter ses propres explications. Au demeurant, le doit d'être entendu, dont la garantie est expressément consacrée à l'art. 29 al. 2 de la Constitution fédérale de la Confédération suisse du 18 avril 1999 (Cst.; RS 101), ne confère notamment pas aux parties le droit de s'exprimer verbalement devant l'autorité appelée à prendre une décision (cf. notamment arrêt du Tribunal fédéral 6B_145/2009 du 28 mai 2009 consid. 3.2). La partie ne peut ainsi exiger d'être entendue oralement en procédure administrative (cf. André Moser, Michael Beusch, Lorenz Kneubühler, Prozessieren vor dem Bundesverwaltungsgericht, Handbücher für die Anwaltspraxis, Tome X, 2ème éd. Bâle 2013, op. cit., ad ch. 3.86). En outre, l'audition de témoins n'étant prévue qu'à titre subsidiaire en procédure administrative (cf.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l'occurrence,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ATF 130 II 169 consid. 2.3.3).</w:t>
      </w:r>
    </w:p>
    <w:p>
      <w:r>
        <w:rPr>
          <w:b/>
        </w:rPr>
        <w:t>E. 8</w:t>
      </w:r>
    </w:p>
    <w:p>
      <w:r>
        <w:t>En vertu de l'art. 41 al. 3 LN, sauf décision expresse, l'annulation fait également perdre la nationalité suisse aux membres de la famille qui l'ont acquise en vertu de la décision annulée. En l'espèce, la situation des deux enfants de A._______, n'est pas semblable. ll ressort du dossier que l'enfant C._______, né le 16 septembre 2005, a été reconnu au Kosovo le 26 mai 2006 par le recourant, qui lui a donné à cette occasion son nom de famille "A._______" (cf. acte de reconnaissance du 26 mai 2006 et certificat de naissance du 29 juillet 2010). C._______ ayant été reconnu par son père avant que ce dernier n'acquière la nationalité suisse, le 20 octobre 2006, il n'a pas acquis la nationalité helvétique par l'acte de reconnaissance de son père (cf. art. 31a LN). Quant à l'enfant D._______, né le 10 avril 2008, il a été reconnu par son père le 5 août 2008 et porte également le nom de famille "A._______" (cf. acte de reconnaissance du 5 août 2008 et certificat de naissance du 29 juillet 2010). A._______ ayant été au bénéfice de la nationalité suisse lors de la reconnaissance de D._______, celui-ci peut prétendre à l'acquisition de la nationalité suisse de son père du seul effet de la loi, conformément à l'art. 1 al. 2 LN. Cela étant, bien que A._______ ait entrepris des démarches en vu de l'enregistrement de ses deux enfants en Suisse (cf. courrier du 24 juin 2010 du Service de l'état civil et des naturalisations à l'ODM), ni C._______, ni D._______ n'ont été enregistrés, à ce jour, dans le registre du Service de l'état civil du canton de Fribourg. En tout état de cause, même si l'enfant cadet du recourant devait avoir acquis la nationalité suisse de par sa reconnaissance à l'étranger par un père suisse, il la perdrait en application de l'art. 41 al. 3 LN, l'annulation de la nationalité suisse de A._______ faisant également perdre la nationalité suisse aux membres de sa famille qui l'ont acquise en vertu de la décision annulée. Dans le cas d'espèce, la mère de cet enfant est de nationalité kosovare. Dans ces circonstances, le Tribunal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kosovare (cf. loi No 03/L-034 sur la nationalité au Kosovo du 20 février 2008, art. 6 in Alexander Bergmann / Murad Ferid / Dieter Henrich, Internationales Ehe- und Kindschaftsrecht mit Staats-angehörigkeitsrecht, Kosovo, p. 3 et 12), que cet enfant serait menacé d'apatridie.</w:t>
      </w:r>
    </w:p>
    <w:p>
      <w:r>
        <w:rPr>
          <w:b/>
        </w:rPr>
        <w:t>E. 9</w:t>
      </w:r>
    </w:p>
    <w:p>
      <w:r>
        <w:t>Il ressort de ce qui précède que, par sa décision du 21 septembre 2011, l'ODM n'a ni violé le droit fédéral, ni constaté des faits pertinents de manière inexacte ou incomplète; en outre, cette décision n'est pas inopportune (art. 49 PA). En conséquence, le recours est rejeté. 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