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C-5832/2009 vom 3. Mai 2010</w:t>
      </w:r>
    </w:p>
    <w:p>
      <w:r>
        <w:t>Bundesverwaltungsgericht, 2010-05-03, FR</w:t>
      </w:r>
    </w:p>
    <w:p>
      <w:r>
        <w:rPr>
          <w:b/>
        </w:rPr>
        <w:t xml:space="preserve">Quelle: </w:t>
      </w:r>
      <w:r>
        <w:t>https://mcp.opencaselaw.ch/entscheid/bvger_C-5832_2009</w:t>
      </w:r>
    </w:p>
    <w:p>
      <w:r>
        <w:t>FR: TAF C-5832/2009 du 3 mai 2010</w:t>
      </w:r>
    </w:p>
    <w:p>
      <w:r>
        <w:t>IT: TAF C-5832/2009 del 3 maggio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de l'ODM en matière d'annulation de la naturalisation facilitée peuvent être déférés au TAF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X._______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consid. 2.3.1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(cf. ATF 135 II précité ibid.). Dans ces circonstances, il y a lieu de présumer que la communauté conjugale n'était plus étroite et effective durant la procédure de naturalisation facilitée, la volonté réciproque des époux de poursuivre leur vie commune n'existant plus alors (cf. ATF 130 II 169 consid. 2.3.1,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ibid.).</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et jurisprudence citée; voir également l'arrêt du Tribunal fédéral 1C_1/2010 du 23 mars 2010 consid. 2.1.1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l'arrêt du Tribunal fédéral 1C_1/2010 précité ibid.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voir également arrêts du Tribunal fédéral 1C_509/2008 du 16 décembre 2008 consid. 2.1.1, 1C_201/2008 du 1er juillet 2008 consid. 2 et 1C_379/2007 du 7 décembre 2007 consid. 4).</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135 II 161 consid. 3), mais encore de son propre intérêt, de renverser cette présomption (cf. ATF 130 II 482 consid. 3.2, voir aussi sur cette question l'arrêt du Tribunal fédéral précité 1C_1/2010 consid. 2.1.2).</w:t>
      </w:r>
    </w:p>
    <w:p>
      <w:r>
        <w:rPr>
          <w:b/>
        </w:rPr>
        <w:t>E. 4.2.2</w:t>
      </w:r>
    </w:p>
    <w:p>
      <w:r>
        <w:t>S'agissant d'une présomption de fait, qui ressortit à l'appréciation des preuves et ne modifie pas le fardeau de la preuve (cf. ATF 130 II 482 ibid.),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consid. 3 et références citées).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1er septembre 2004 à X._______ a été annulée par l'autorité inférieure en date du 16 juillet 2009, soit avant l'échéance du délai péremptoire de cinq ans prévu par la disposition précitée (cf. sur cette question l'arrêt du Tribunal fédéral 1C_421/2008 du 15 décembre 2008 consid. 2.3 et jurisprudence citée), avec l'assentiment de l'autorité du canton d'origine (Neuchâtel).</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X._______ a obtenu la naturalisation facilitée sur la base de déclarations mensongères et d'une dissimulation de faits essentiels.</w:t>
      </w:r>
    </w:p>
    <w:p>
      <w:r>
        <w:rPr>
          <w:b/>
        </w:rPr>
        <w:t>E. 6.2</w:t>
      </w:r>
    </w:p>
    <w:p>
      <w:r>
        <w:t>Ainsi, il est à relever que le mariage du recourant a été contracté le 30 juin 2000 et que bien qu'à cette date, celui-ci ne fît pas l'objet d'une décision de renvoi de Suisse, il ne se trouvait toutefois en ce pays qu'au bénéfice d'une autorisation de séjour temporaire pour études qui était arrivée à échéance le 15 avril 2000 et qu'il avait échoué dans ses examens finaux pour l'obtention d'un diplôme (cf. attestation de l'Ecole Bénédict du 11 mars 2008). Après avoir obtenu une autorisation de séjour dans le canton de Neuchâtel liée à son statut d'époux de ressortissante suisse, X._______ a déposé, au mois d'octobre 2003, une demande de naturalisation facilitée. Le 14 juillet 2004, le prénommé et son épouse ont signé la déclaration relative à la stabilité de leur mariage. Le 1er septembre 2004, la naturalisation facilitée a été octroyée au recourant. Or, au mois de mars 2005, soit sept mois plus tard, les époux X._______ et Y._______ ont pris des domiciles séparés. Le 12 avril 2005, Y._______ a déposé une requête de mesures protectrices de l'union conjugale et le 10 juin 2005 le Tribunal civil du district de Neuchâtel a autorisé les époux à vivre séparément. Enfin, le 21 décembre 2005, les intéressés ont déposé une requête commune de divorce et le 27 mars 2006, le Tribunal civil précité a prononcé le jugement de divorce.</w:t>
      </w:r>
    </w:p>
    <w:p>
      <w:r>
        <w:rPr>
          <w:b/>
        </w:rPr>
        <w:t>E. 6.3</w:t>
      </w:r>
    </w:p>
    <w:p>
      <w:r>
        <w:t>Le Tribunal estime dès lors que l'enchaînement chronologique particulièrement rapide des faits, tels qu'il a été relaté ci-dessus, couplé au court laps de temps qui s'est écoulé entre la déclaration commune (14 juillet 2004), l'octroi de la naturalisation facilitée (1er septembre 2004), la séparation de fait des époux Perrin (à partir du mois de mars 2005) et le dépôt de la requête commune de divorce (21 décembre 2005) est de nature à fonder la présomption que cette naturalisation a été obtenue de manière frauduleuse et que le couple n'envisageait déjà plus une vie future partagée lors de la signature de la déclaration de vie commune.</w:t>
      </w:r>
    </w:p>
    <w:p>
      <w:r>
        <w:rPr>
          <w:b/>
        </w:rPr>
        <w:t>E. 6.4</w:t>
      </w:r>
    </w:p>
    <w:p>
      <w:r>
        <w:t>Cette conviction est renforcée par plusieurs autres éléments.</w:t>
      </w:r>
    </w:p>
    <w:p>
      <w:r>
        <w:rPr>
          <w:b/>
        </w:rPr>
        <w:t>E. 6.4.1</w:t>
      </w:r>
    </w:p>
    <w:p>
      <w:r>
        <w:t>S'agissant de la situation du couple avant leur séparation au mois de mars 2005, le Tribunal relève que Y._______ a indiqué que des problèmes conjugaux avaient surgi depuis l'année 2001, que ceux-ci avaient pour origine des difficultés financières, le fait que l'intéressé ne voulait pas d'enfant et qu'il n'avait pas d'activité en commun avec sa conjointe, se contentant de sortir de temps à autre avec cette dernière avant de rejoindre ses amis qu'il voyait souvent (cf. p.-v. d'audition du 3 novembre 2006, ch. 2.2 à 2.4). Elle a aussi allégué qu'au moment de signer la déclaration concernant la communauté conjugale le 14 juillet 2004, elle pensait que son époux allait changer et que les « choses iraient mieux », mais que rien n'avait changé (cf. loc. cit., p. 5). Enfin, elle a précisé qu'après avoir dit à son époux que les choses n'allaient pas entre eux, ce dernier avait quitté le domicile conjugal « sur sa propre initiative » en lui répliquant « qu'il ne resterait pas une semaine de plus » (cf. loc. cit., ch. 2.5). Même si, invité à se déterminer sur le contenu de l'audition de son épouse à laquelle il avait assisté, le recourant a surtout rejeté sur cette dernière la responsabilité d'avoir initié le processus de séparation (cf. lettre du 22 janvier 2007, ad réponse à questions 2.6 et 2.7) et a souligné qu'il avait aussi souhaité avoir des enfants de son épouse, mais qu'après discussion avec cette dernière, ils avaient décidé de « profiter de la vie », il n'en demeure pas moins que les déclarations de l'épouse laissent clairement entrevoir que le couple connaissait de sérieuses difficultés peu de temps après la célébration du mariage déjà. Les éventuelles difficultés qui peuvent surgir entre époux dans une communauté de vie effective, intacte et stable, n'entraînent la désunion, selon l'expérience générale, qu'au terme d'un processus prolongé de dégradation des rapports conjugaux, en principe entrecoupés de tentatives de réconciliation (cf. arrêt 1C_548/2009 du 24 février 2010 consid. 4.2 et jurisprudence citée). Dès lors, il apparaît peu vraisemblable que le recourant ait pu avoir, dans ces circonstances, la conviction que sa communauté matrimoniale était stable, effective et tournée vers l'avenir au moment de sa déclaration écrite du 14 juillet 2004. A cela s'ajoute qu'il ne ressort ni des actes de la procédure de divorce (cf. requête de mesures protectrices de l'union conjugale déposée le 12 avril 2005, p.-v. d'audience du 10 juin 2005 et requête commune du divorce du 21 décembre 2005) ni des actes du dossier que les époux X._______ et Y._______ aient tout tenté pour se remettre ensemble après leur séparation du mois de mars 2005 (due à une dispute), alors même qu'ils étaient mariés depuis près de cinq ans. Ce défaut de volonté de sauver une union qui aurait été prétendument encore effective et tournée vers l'avenir peu de mois auparavant semble bien plutôt confirmer que tout était déjà joué depuis longtemps.</w:t>
      </w:r>
    </w:p>
    <w:p>
      <w:r>
        <w:rPr>
          <w:b/>
        </w:rPr>
        <w:t>E. 7</w:t>
      </w:r>
    </w:p>
    <w:p>
      <w:r>
        <w:t>Cela étant, le recourant n'a pas rendu vraisemblable la survenance d'un événement extraordinaire susceptible d'expliquer une détérioration rapide du lien conjugal, au sens indiqué plus haut (cf. consid. 4.2.2). Certes, l'intéressé fait valoir qu'il a été mis à la porte par son ex-épouse suite à une « dispute» le 18 mars 2005, « afin de permettre de préparer l'arrivée de son ami et futur époux » chez qui il s'était rendu après son départ du domicile conjugal (cf. mémoire de recours, p. 3, ch. 10 et 11; observations du 22 janvier 2007, ad réponse à question 2.5). Il a encore ajouté que son ex-épouse « enceinte de son ami [...] lui demandait sans cesse de signer une convention de divorce à l'amiable, ce qu'il a fini par faire le 29 novembre 2005 » (cf. loc. cit., p. 4, ch. 14). Or, il ressort du courrier que le recourant, par son mandataire, a adressé le 20 mars 2008 à l'ODM qu'il s'est rendu chez son frère après son départ du domicile conjugal et qu'il n'a pas vécu chez un ami suite à sa séparation, contrairement à ce qui est affirmé ci-dessus. En outre, il n'est pas crédible que l'ex-épouse du recourant, du fait de sa grossesse, ait harcelé ce dernier pour obtenir de lui qu'il signe la convention de divorce précitée (soit le 29 novembre 2005), dans la mesure où un tel harcèlement présuppose une certaine durée et doit donc avoir débuté bien avant la date précitée, ce qui signifie que la recourante ne pouvait pas savoir à ce moment-là qu'elle était enceinte puisqu'elle n'a accouché qu'au mois d'août 2006. Dès lors, même si l'ex-épouse de l'intéressé a effectivement eu une relation extra-conjugale, dans la mesure où elle n'était pas encore divorcée au moment de la conception de son enfant, rien ne permet d'affirmer que cette relation était antérieure à la séparation du couple X._______ et Y._______ et qu'elle ait provoqué le changement de comportement de l'ex-épouse à l'égard du recourant, comme celui-ci l'affirme dans son recours (loc. cit., p. 4 ch. 14). En effet, aucune preuve tangible n'a été apportée quant à l'existence de cette relation avant la séparation au mois de mars 2005, de sorte que celle-ci a très bien pu se développer par la suite, l'épouse de l'intéressé ayant vécu seule depuis ce moment-là. Dans ces circonstances, les affirmations du recourant selon lesquelles il a vécu une communauté conjugale effective et stable du mois de janvier 2000 jusqu'à leur dispute du mois mars 2005 et qu'au moment de la décision de naturalisation facilitée, la volonté matrimoniale était intacte et orientée vers l'avenir (loc. cit., p. 17) ne permettent pas de comprendre pourquoi la communauté conjugale formée avec son épouse, bien que prétendument encore intacte au mois de juillet 2004 et orientée vers l'avenir, ne l'était déjà plus huit mois après une seule dispute. Dès lors, il n'est pas vraisemblable que le recourant ait pu ignorer le délabrement de son couple au moment où il a signé la déclaration du 14 juillet 2004.</w:t>
      </w:r>
    </w:p>
    <w:p>
      <w:r>
        <w:rPr>
          <w:b/>
        </w:rPr>
        <w:t>E. 8.1</w:t>
      </w:r>
    </w:p>
    <w:p>
      <w:r>
        <w:t>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au moment où il a signé la déclaration du 14 juillet 2004. Partant, à défaut de contre-preuves convaincantes susceptibles d'expliquer la dégradation rapide du lien conjugal, il y a lieu de s'en tenir à la présomption de fait que la naturalisation facilitée a été obtenue de façon frauduleuse (cf. ATF 130 II 482). Aussi, au vu de ces éléments, peu importe que la volonté de séparation ait été le fait de l'épouse du recourant (cf. mémoire de recours, p. 3 et 4). En effet, la circonstance que le lien conjugal a été rompu de facto sept mois seulement après l'obtention de la naturalisation facilitée, avant le dépôt formel de la demande de divorce, amène à la conclusion que la communauté conjugale vécue par les intéressés ne présentait manifestement pas l'intensité et la stabilité requises déjà durant de nombreux mois avant la décision de naturalisation et, partant, au moment de la signature de la déclaration commune. Il appert ainsi de toute évidence que l'existence d'une volonté matrimoniale intacte, orientée vers l'avenir, faisait alors défaut.</w:t>
      </w:r>
    </w:p>
    <w:p>
      <w:r>
        <w:rPr>
          <w:b/>
        </w:rPr>
        <w:t>E. 8.2</w:t>
      </w:r>
    </w:p>
    <w:p>
      <w:r>
        <w:t>Au vu du déroulement chronologique des faits et des autres éléments exposés ci-dessus, le Tribunal est amené, à défaut de contre-preuves pertinentes apportées par le recourant, à conclure que la communauté conjugale que l'intéressé formait avec son épouse n'était plus étroite et effective déjà au moment de la signature de la déclaration commune le 14 juillet 2004 et, à plus forte raison, au moment de l'octroi de la naturalisation, le 1er septembre 2004. Partant, l'Office fédéral était parfaitement fondé à prononcer, avec l'assentiment du canton d'origine, l'annulation de cette naturalisation.</w:t>
      </w:r>
    </w:p>
    <w:p>
      <w:r>
        <w:rPr>
          <w:b/>
        </w:rPr>
        <w:t>E. 9</w:t>
      </w:r>
    </w:p>
    <w:p>
      <w:r>
        <w:t>Compte tenu des considérants exposés ci-dessus, il appert que, par sa décision du 16 juillet 2009, l'ODM n'a ni violé le droit fédéral, ni constaté de manière inexacte ou incomplète des faits pertinents; en outre, cette décision n'est pas inopportune (cf. art. 49 PA). En conséquence le recours est rejeté. Par décision incidente du 12 novembre 2009, le Tribunal a mis le recourant au bénéfice de l'assistance judiciaire et désigné Me Ridha Ajmi comme avocat d'office en application de l'art. 65 al. 1 et 2 PA. Il y a donc lieu de dispenser l'intéressé du paiement des frais de la présente procédure et d'allouer à Me Ridha Ajmi une indemnité à titre d'honoraires (art. 8 à 10 en relation avec l'art. 12 et l'art. 14 du règlement du 21 février 2008 concernant les frais, dépens et indemnités fixés par le Tribunal administratif fédéral [FITAF, RS 173.320.2]). Le recourant a l'obligation de rembourser ce montant s'il revient à meilleure fortune, conformément à l'art. 65 al. 4 PA. Tenant compte de l'ensemble des circonstances du cas, de l'importance de l'affaire, du degré de difficulté de cette dernière et de l'ampleur du travail que Me Ridha Ajmi a accompli en sa qualité de mandataire en relation avec la présente procédure, le Tribunal estime, au regard des art. 8 ss FITAF, que le versement d'une indemnité à titre d'honoraires, s'élevant à Fr. 2'000.--, débours et TVA compris,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