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C-5826/2012 vom 28. März 2013</w:t>
      </w:r>
    </w:p>
    <w:p>
      <w:r>
        <w:t>Bundesverwaltungsgericht, 2013-03-28, DE</w:t>
      </w:r>
    </w:p>
    <w:p>
      <w:r>
        <w:rPr>
          <w:b/>
        </w:rPr>
        <w:t xml:space="preserve">Quelle: </w:t>
      </w:r>
      <w:r>
        <w:t>https://mcp.opencaselaw.ch/entscheid/bvger_C-5826_2012</w:t>
      </w:r>
    </w:p>
    <w:p>
      <w:r>
        <w:t>FR: TAF C-5826/2012 du 28 mars 2013</w:t>
      </w:r>
    </w:p>
    <w:p>
      <w:r>
        <w:t>IT: TAF C-5826/2012 del 28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Die Beschwerdelegitimation der Beschwerdeführerin ergibt sich ohne Weiteres aus Art. 48 Abs. 1 VwVG. Auf die frist- und formgerecht eingereichte Be­schwerde ist daher grundsätzlich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2011/43 E. 6.1).</w:t>
      </w:r>
    </w:p>
    <w:p>
      <w:r>
        <w:rPr>
          <w:b/>
        </w:rPr>
        <w:t>E. 3</w:t>
      </w:r>
    </w:p>
    <w:p>
      <w:r>
        <w:t>Die Beschwerdeführenden rügen in formeller Hinsicht eine Verletzung des Anspruchs auf rechtliches Gehör.</w:t>
      </w:r>
    </w:p>
    <w:p>
      <w:r>
        <w:rPr>
          <w:b/>
        </w:rPr>
        <w:t>E. 3.1</w:t>
      </w:r>
    </w:p>
    <w:p>
      <w:r>
        <w:t>Diesbezüglich machen sie geltend, X._______ sei mit Schreiben des Amtes für Migration des Kantons Basel-Landschaft vom 25. September 2012 aufgefordert worden, sich im Rahmen des rechtlichen Gehörs zu einem allfälligen Einreiseverbot zu äussern. Zur zeitlichen Ausgestaltung sei er im unklaren gelassen worden. Das Schreiben sei jedoch nicht an die Vollzugsanstalt Z._______ gesandt worden, sondern an den Wohnort seiner Ehefrau. Diese habe ihm das Schreiben am 1. Oktober 2012 nach Z._______ verschickt, woraufhin er nur einen Tag Zeit gehabt habe, eine Stellungnahme zu verfassen. Ferner sei auch der Anspruch auf rechtliches Gehör der Beschwerdeführerin verletzt. Nachdem sie vom Schreiben des Amtes für Migration vom 25. September 2012 Kenntnis genommen habe, habe sie die kantonale Behörde telefonisch darum gebeten, sich ebenfalls zur geplanten Fernhaltemassnahme äussern zu dürfen. Das Amt für Migration habe ihr anschliessend telefonisch die Möglichkeit eingeräumt, bis zum 11. Oktober 2012 eine Stellungnahme einzureichen. In der Folge habe sie ihre Stellungnahme am 8. Oktober 2012 bei der Schweizerischen Post per eingeschriebenem Brief versandt. Die kantonale Behörde habe somit die Eingabe frühestens am 9. Oktober 2012 erhalten. Da die Vorinstanz bereits am gleichen Tag die Verfügung erlassen habe, sei die Stellungnahme der Beschwerdeführerin nicht in die Entscheidfindung eingeflossen.</w:t>
      </w:r>
    </w:p>
    <w:p>
      <w:r>
        <w:rPr>
          <w:b/>
        </w:rPr>
        <w:t>E. 3.1.1</w:t>
      </w:r>
    </w:p>
    <w:p>
      <w:r>
        <w:t>Der Anspruch auf rechtliches Gehör, wie ihn Lehre und Rechtsprechung aus Artikel 29 Abs. 2 der Schweizerischen Bundesverfassung vom 18. April 1999 (BV, SR 102) ableiten und wie er sich für das Bundesverwaltungsverfahren aus den Art. 29 ff. VwVG ergibt, umfasst eine Anzahl verschiedener verfassungsrechtlicher Verfahrensgarantien (vgl. aus der Literatur etwa Alfred Kölz/Isabelle Häner, Verwaltungsverfahren und Verwaltungsrechtspflege des Bundes, 2. Aufl., Zürich 1998, S. 46, 107 ff.; Markus Schefer, Grundrechte in der Schweiz, Bern 2005, S. 285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3.1.2</w:t>
      </w:r>
    </w:p>
    <w:p>
      <w:r>
        <w:t>Aus den Akten ergibt sich, dass das Amt für Migration des Kantons Basel-Landschaft dem Beschwerdeführer mit Schreiben vom 25. September 2012 das rechtliche Gehör zu einem allfälligen Einreiseverbot gewährte. Dieses wurde jedoch - wie beschwerdeweise vorgebracht - fälschlicherweise an die Wohnadresse der Beschwerdeführerin gesandt und nicht der Vollzugsanstalt Z._______ zugestellt, wo sich der Beschwerdeführer aufhielt. Dass sich der Beschwerdeführer dort im geschlossenen Vollzug befand, war der kantonalen Behörde bekannt, wie dies eindeutig aus den kantonalen Akten hervorgeht (vgl. u.a. der zu der kantonalen Akten gelegten Vollzugsauftrag der Sicherheitsdirektion Basel-Landschaft vom 16. Mai 2012). Nachdem die Ehefrau dem Beschwerdeführer das Schreiben vom 25. September 2012 zukommen liess, nahm dieser - innert Frist - mit Eingabe vom 3. Oktober 2012 Stellung. Gemäss einer handschriftlichen Notiz vom 2. Oktober wurde die Frist zur Einreichung einer Stellungnahme von der kantonalen Behörde aufgrund eines Telefonats mit der Beschwerdeführerin bis zum 12. Oktober 2012 verlängert (vgl. dazu auch Beilage 6 der Beschwerde vom 8. November 2012). Mit Stellungnahme vom 5. Oktober 2012 äusserte sich auch die Beschwerdeführerin zum geplanten Einreiseverbot. Das entsprechende Schreiben wurde am 8. Oktober 2012 als eingeschriebener Brief postalisch an die kantonale Behörde versandt (vgl. Bestätigung "Die Post" vom 8. Oktober 2012; Beschwerdebeilage 8). In der Folge wurde der Brief am 9. Oktober 2012 um 8.07 Uhr zugestellt (vgl. Sendungsverfolgung Track and Trace "Die Post", abgerufen am 6. März 2013). Am 9. Oktober 2012 um 11.02 Uhr ersuchte die kantonale Behörde das BFM um Erlass eines Einreiseverbots (vgl. E-Mail des Migrationsamtes des Kantons Basel-Landschaft).</w:t>
      </w:r>
    </w:p>
    <w:p>
      <w:r>
        <w:rPr>
          <w:b/>
        </w:rPr>
        <w:t>E. 3.1.3</w:t>
      </w:r>
    </w:p>
    <w:p>
      <w:r>
        <w:t>Das verfassungsmässige Recht, angehört zu werden, ist formeller Natur. Die Verletzung dieses Rechts führt - ungeachtet der Erfolgsaussichten der Beschwerde in der Sache selbst - grundsätzlich zur Aufhebung der angefochtenen Verfügung (vgl. BGVE 2009/61 E. 4.1.3 mit Hinweisen; Bernhard Waldmann/Jürg Bickel in: Bernhard Waldmann/Philippe Weissenberger, Praxiskommentar VwVG, Art. 29 N 28 f. und N 106 f.). Die Gehörsverletzung ist aber nach ständiger Praxis des Bundesgerichts ausnahmsweise einer Heilung zugänglich, wenn die betroffene Partei die Möglichkeit hat, sich vor einer Beschwerdeinstanz zu äussern, vorausgesetzt diese Instanz ist befugt zur freien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um nicht besonders schwerwiegende Verletzung von Parteirechten geht. Nach der neueren Rechtsprechung kann eine Heilung aber auch dann erfolgen, wenn schwerwiegende Verfahrensmängel das rechtliche Gehör beeinträchtigt haben und eine Rückweisung den Interessen der Partei an einer beförderlichen Behandlung zuwiderlaufen würde (BGE 133 I 201 E. 2.2 S. 204 f.; BGE 132 V 387 E. 5.1 S. 390; vgl. auch Waldmann/Bickel, a.a.O., Art. 29 N 116 sowie N 125 ff., Lorenz Kneubühler, Gehörsverletzung und Heilung, Zbl. 1998 S. 116, kritisch Patrick Sutter in: Christoph Auer/Markus Müller/Benjamin Schindler, Kommentar zum Bundesgesetz über das Verwaltungsverfahren [VwVG], Zürich/St. Gallen 2008, Art. 29 Rz. 21).</w:t>
      </w:r>
    </w:p>
    <w:p>
      <w:r>
        <w:rPr>
          <w:b/>
        </w:rPr>
        <w:t>E. 3.1.4</w:t>
      </w:r>
    </w:p>
    <w:p>
      <w:r>
        <w:t>Das Bundesverwaltungsgericht verfügt im vorliegenden Verfahren über die gleiche Kognition wie die Vorinstanz und ist zur freien Prüfung aller Sachverhalts- und Rechtsfragen befugt; eine der Voraussetzungen für die Heilung der Gehörsverletzung ist somit gegeben. Der Beschwerdeführer konnte sich - trotz der Zustellung des kantonalen Schreibens vom 25. September 2012 an die Wohnadresse seiner Ehefrau - innert Frist zum geplanten Einreiseverbot äussern. Es ist somit diesbezüglich nicht von einer schwerwiegenden Verletzung des Anspruchs auf rechtliches Gehör auszugehen. Aus den Akten ergibt sich zudem, dass auch die Beschwerdeführerin fristgerecht Stellung nehmen konnte. Eine Kopie beider Stellungnahmen befindet sich bei den dem Bundesverwaltungsgericht von der Vorinstanz zur Verfügung gestellten Akten (Eingang BFM gemäss Aktenverzeichnis am 9. Oktober 2012). Doch selbst wenn davon ausgegangen werden müsste, die Stellungnahme der Beschwerdeführerin vom 5. Oktober 2012 sei in die vorinstanzliche Entscheidfindung nicht mehr eingeflossen, führt dies nicht eo ipso zur Annahme einer schwerwiegenden Verletzung des Gehörsanspruchs. Die Vorinstanz konnte sich aufgrund der vorhandenen Akten ein klares Bild der Sachlage machen. Der Beschwerdeführer legte in seinem Schreiben vom 3. Oktober 2012 zudem die (gemeinsamen) privaten Interessen des Ehepaars dar. Unter diesen Umständen würde eine Rückweisung der Sache an die Vorinstanz lediglich einen prozessualen Leerlauf darstellen. In diesem Zusammenhang kann eine Verletzung des Anspruchs auf rechtliches Gehör der Beschwerdeführenden somit als geheilt betrachtet werden.</w:t>
      </w:r>
    </w:p>
    <w:p>
      <w:r>
        <w:rPr>
          <w:b/>
        </w:rPr>
        <w:t>E. 3.2</w:t>
      </w:r>
    </w:p>
    <w:p>
      <w:r>
        <w:t>Des Weiteren wird beschwerdeweise geltend gemacht, richtigerweise hätte bereits die Vorinstanz die geltend gemachten Interessen der Beschwerdeführenden gegenüber den Interessen der eine Massnahme aussprechenden Behörden abwägen müssen. Das BFM sei hingegen auf ihre evidenten Interessen nicht eingegangen, sondern habe stattdessen lapidar festgehalten, solche Vorbringen seien weder im Rahmen des rechtlichen Gehörs noch aus den Akten zu entnehmen. Es sei in Abrede zu stellen, dass eine derartige Standardformulierung dem Anspruch an ein sorgfältiges Abwägen der Interessen genüge. Beschwerdeweise wurde des Weiteren vorgebracht, die Vorinstanz sei weder auf den Umstand eingegangen, dass die Beschwerdeführerin eine österreichische Staatsangehörige sei noch dass der Beschwerdeführer dem Abkommen vom 21. Juni 1999 zwischen der Schweizerischen Eidgenossenschaft einerseits und der Europäischen Gemeinschaft und ihren Mitgliedstaaten andererseits über die Freizügigkeit (nachfolgend: FZA, SR 0.142.112.681) unterstellt sei und deshalb strengere Voraussetzungen für die Verhängung einer Fernhaltemassnahme gelten würden. Insofern beanstanden die Beschwerdeführenden sinngemäss eine Verletzung der Berücksichtigungs- wie auch der Begründungspflicht.</w:t>
      </w:r>
    </w:p>
    <w:p>
      <w:r>
        <w:rPr>
          <w:b/>
        </w:rPr>
        <w:t>E. 3.2.1</w:t>
      </w:r>
    </w:p>
    <w:p>
      <w:r>
        <w:t>Der Grundsatz des rechtlichen Gehörs umfasst des Weiteren die Pflicht der Behörde, bevor sie verfügt alle erheblichen und rechtzeitigen Vorbringen der Parteien zu würdigen (Art. 32 Abs. 1 VwVG). Ob die Behörde sämtliche erheblichen Parteivorbringen gewürdigt hat, lässt sich jedoch nicht losgelöst von der Begründung einer Verfügung beurteilen und kann regelmässig nur anhand der Verfügungsbegründung beurteilt werden (vgl. BERNHARD WALDMANN/JÜRG BICKEL, Praxiskommentar VwVG, a.a.O., Art. 32 N 21).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Lorenz Kneubühler, in: Christoph Auer/Markus Müller/Benjamin Schindler [Hrsg.], Kommentar zum Bundesgesetz über das Verwaltungsverfahren [VwVG], Zürich/St. Gallen 2008, Rz. 4 ff. zu Art. 35 VwVG).</w:t>
      </w:r>
    </w:p>
    <w:p>
      <w:r>
        <w:rPr>
          <w:b/>
        </w:rPr>
        <w:t>E. 3.2.2</w:t>
      </w:r>
    </w:p>
    <w:p>
      <w:r>
        <w:t>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3.2.3</w:t>
      </w:r>
    </w:p>
    <w:p>
      <w:r>
        <w:t>In der Tat hat sich die Vorinstanz lediglich sehr knapp zur Interessensabwägung geäussert, allerdings kann von ihr auch nicht erwartet werden, dass sie sich im Detail mit sämtlichen Vorbringen der Beschwerdeführenden auseinandersetzt. Beanstandet werden muss hingegen, dass in der Verfügung vom 9. Oktober 2012 zur Vereinbarkeit des Einreiseverbots mit dem Freizügigkeitsabkommen nicht Stellung genommen wurde. Immerhin ist der nigerianische Beschwerdeführer mit einer in der Schweiz niedergelassenen österreichischen Staatsangehörigen verheiratet und dadurch Ehegatte bzw. ein Familienangehöriger einer Staats­angehörigen eines Mitgliedstaates der Europäischen Gemeinschaft (EG, vgl. Art. 3 Abs. 1 f. Anhang I FZA. Damit ist die Vorinstanz auf einen entscheidswesentlichen Gesichtspunkt gar nicht erst eingegangen. Kommt hinzu, dass sie selbst in ihrer dreizeiligen Vernehmlassung vom 17. Dezember 2012 mit keinem Wort dazu Stellung nahm, sondern lediglich ausführte, es seien beschwerdeweise keine Elemente vorgebracht worden, die nicht bereits Gegenstand ihres Entscheids gewesen seien. Dies obwohl in der Beschwerde nochmals ausdrücklich auf den Umstand hingewiesen wurde, dass die Beschwerdeführerin Österreicherin ist. Vorliegend ist somit von einer Verletzung der Berücksichtigungs- und der Begründungspflicht auszugehen, die einer Heilung nicht zugänglich ist (vgl. hingegen Urteil des Bundesverwaltungsgerichts C-6314/2009 vom 11. Oktober 2011 E. 3 - E. 3.2, wo sich das BFM zumindest in seiner Vernehmlassung mit der Vereinbarkeit der verhängten Fernhaltemassnahme mit dem Freizügigkeitsabkommen auseinandergesetzt hat. Folglich wurden die Voraussetzungen für eine Heilung als erfüllt betrachtet).</w:t>
      </w:r>
    </w:p>
    <w:p>
      <w:r>
        <w:rPr>
          <w:b/>
        </w:rPr>
        <w:t>E. 4</w:t>
      </w:r>
    </w:p>
    <w:p>
      <w:r>
        <w:t>Bei dieser Sachlage ist auf die übrigen Rügen nicht weiter einzugehen. Fest steht, das die angefochtene Verfügung Bundesrecht verletzt (Art. 49 Bst. a VwVG). Die Beschwerde ist daher im Sinne des Eventualbegehrens gutzuheissen, die Verfügung vom 9. Oktober 2012 aufzuheben und die Sache im Sinne der Erwägungen an das BFM zur Neubeurteilung zurückzuweisen.</w:t>
      </w:r>
    </w:p>
    <w:p>
      <w:r>
        <w:rPr>
          <w:b/>
        </w:rPr>
        <w:t>E. 5</w:t>
      </w:r>
    </w:p>
    <w:p>
      <w:r>
        <w:t>Entsprechend dem Verfahrensausgang sind den Beschwerdeführenden keine Kosten aufzuerlegen (Art. 63 Abs. 1 VwVG). Für die im Verfahren vor dem Bundesverwaltungsgericht erwachsenen notwendigen Kosten ist ihnen zudem eine Parteientschädigung von Fr. 1'500.- zuzusprechen (Art. 64 Abs. 1 VwVG i.V.m. Art. 7 ff. des Reglements vom 21. Februar 2008 über die Kosten und Entschädigungen vor dem Bundesverwaltungsgericht [VGKE, SR 173.320.2]). Mit der Ausrichtung einer Parteientschädigung sind die Auslagen der Beschwerdeführenden gedeckt, womit ihr Gesuch um unentgeltliche Rechtspflege hinfällig wird (vgl. MARCEL MAILLARD in Praxiskommentar VwVG, a.a.O., N 46 zu Art. 65). Unterliegenden Bundesbehörden werden keine Verfahrenskosten auferlegt (Art. 63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