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C-5823/2013 vom 6. Dezember 2016</w:t>
      </w:r>
    </w:p>
    <w:p>
      <w:r>
        <w:t>Bundesverwaltungsgericht, 2016-12-06, DE</w:t>
      </w:r>
    </w:p>
    <w:p>
      <w:r>
        <w:rPr>
          <w:b/>
        </w:rPr>
        <w:t xml:space="preserve">Quelle: </w:t>
      </w:r>
      <w:r>
        <w:t>https://mcp.opencaselaw.ch/entscheid/bvger_C-5823_2013</w:t>
      </w:r>
    </w:p>
    <w:p>
      <w:r>
        <w:t>FR: TAF C-5823/2013 du 6 décembre 2016</w:t>
      </w:r>
    </w:p>
    <w:p>
      <w:r>
        <w:t>IT: TAF C-5823/2013 del 6 dicembre 2016</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10. Oktober 2013 gegen die als Verfügung im Sinn von Art. 5 Abs. 1 VwVG zu qualifizierende Anordnung der Vorinstanz vom 10. September 2013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BVGE 2007/17 E. 2.2; BGE 123 V 152 E. 2 mit Hinweisen; Urteil des BGer 8C_676/2010 vom 11. Februar 2011; Benjamin Schindler, in: Kommentar zum Bundesgesetz über das Verwaltungsverfahren [VwVG], 2008, Rz. 26 zu Art. 49).</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3.1</w:t>
      </w:r>
    </w:p>
    <w:p>
      <w:r>
        <w:t>Während dem laufenden Beschwerdeverfahren zog die Vorinstanz mit Verfügung vom 3. Februar 2014 ihre Verfügung vom 10. September 2013 betreffend H._______ (Packungen 1, 2) und Z._______ (Packung 1) teilweise in Wiedererwägung (Sachverhalt Bst. G). Damit entsprach die Vorinstanz dem Eventualantrag der Beschwerdeführerin im Hinblick auf die Berücksichtigung der FAP beim APV von H._______ in Deutschland und von Z._______ in Österreich. Dies wurde von der Beschwerdeführerin in ihrer Replik zur Kenntnis genommen (BVGer-act. 15 Rz. 4).</w:t>
      </w:r>
    </w:p>
    <w:p>
      <w:r>
        <w:rPr>
          <w:b/>
        </w:rPr>
        <w:t>E. 3.2</w:t>
      </w:r>
    </w:p>
    <w:p>
      <w:r>
        <w:t>Gemäss Art. 58 VwVG kann die Vorinstanz bis zu ihrer Vernehmlassung die angefochtene Verfügung in Wiedererwägung ziehen. Die Beschwerdeinstanz hat die Behandlung der Beschwerde fortzusetzen, soweit diese durch die neue Verfügung der Vorinstanz nicht gegenstandslos geworden ist (Art. 58 Abs. 3 VwVG).</w:t>
      </w:r>
    </w:p>
    <w:p>
      <w:r>
        <w:rPr>
          <w:b/>
        </w:rPr>
        <w:t>E. 3.3</w:t>
      </w:r>
    </w:p>
    <w:p>
      <w:r>
        <w:t>Die Vorinstanz hat die neuen PP wie in der ursprünglichen Verfügung vom 10. September 2013 ausschliesslich gestützt auf einem APV festgesetzt. Ein TQV wurde auch diesmal nicht vorgenommen. Wie zu zeigen sein wird (vgl. hinten E. 6.4) ist jedoch diese Prüfmethode nicht rechtskonform.</w:t>
      </w:r>
    </w:p>
    <w:p>
      <w:r>
        <w:rPr>
          <w:b/>
        </w:rPr>
        <w:t>E. 3.4</w:t>
      </w:r>
    </w:p>
    <w:p>
      <w:r>
        <w:t>Strittig bleiben somit weiterhin die Senkung der Preise von H._______ (Packungen 1, 2) und Z._______ (Packung 1).</w:t>
      </w:r>
    </w:p>
    <w:p>
      <w:r>
        <w:rPr>
          <w:b/>
        </w:rPr>
        <w:t>E. 4.1</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(nachfolgend: SL-Handbuch; abrufbar unter www.bag.admin.ch &gt; Themen &gt; Krankenversicherung &gt; Tarife und Preise &gt; Spezialitätenliste &gt; 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4.2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4.3</w:t>
      </w:r>
    </w:p>
    <w:p>
      <w:r>
        <w:t>In zeitlicher Hinsicht sind grundsätzlich diejenigen materiell-rechtlichen Rechtssätze massgebend, die bei der Erfüllung des zu Rechtsfolgen führenden Sachverhalts Geltung haben (BGE 130 V 329 E. 2.3; 134 V 315 E. 1.2). Massgebend sind vorliegend die im Zeitpunkt der Verfügung, also am 19. September 2014 geltenden materiellen Bestimmungen (vgl. Urteil des BVGer C-2979/2008 vom 1. Dezember 2010 E. 4.1). Dazu gehören neben dem KVG (SR 832.10) in der aktuellen Fassung einerseits namentlich die Fassungen der KVV (SR 832.102) und der KLV (SR 832.112.31) gemäss den Änderungen vom 8. Mai 2013, die am 1. Juni 2013 in Kraft traten (AS 2013 1353; AS 2013 1357). Im Folgenden werden die Verordnungsbestimmungen ohne anderslautende Angabe in derjenigen Fassung zitiert, wie sie am 10. September 2013 in Kraft standen.</w:t>
      </w:r>
    </w:p>
    <w:p>
      <w:r>
        <w:rPr>
          <w:b/>
        </w:rPr>
        <w:t>E. 5.1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5.2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5.3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5.4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5.5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5.6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5.7</w:t>
      </w:r>
    </w:p>
    <w:p>
      <w:r>
        <w:t>Das BAG überprüft bei sämtlichen Arzneimitteln, die in der Spezialitätenliste aufgeführt sind, periodisch alle drei Jahre, ob sie die Aufnahmebedingungen noch erfüllen (Art. 65d Abs. 1 KVV i.V.m. Art. 35b Abs. 1 KLV). Diese Überprüfung findet auch statt bei Ablauf des Patentschutzes von Originalpräparaten (Art. 65e Abs. 1 KVV), bei einer Indikationserweiterung oder Limitierungsänderung (Art. 65f Abs. 1 KVV) sowie bei einem Preiserhöhungsgesuch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&gt; Kommissionen &gt; Parlamentarische Verwaltungskontrolle &gt; Publikationen &gt; Berichte 2013, abgerufen am 23. Mai 2016).</w:t>
      </w:r>
    </w:p>
    <w:p>
      <w:r>
        <w:rPr>
          <w:b/>
        </w:rPr>
        <w:t>E. 6</w:t>
      </w:r>
    </w:p>
    <w:p>
      <w:r>
        <w:t>Nicht strittig ist, dass für die Arzneimittel H._______ (verschiedene Packungen), T._______, Z._______ (verschiedene Packungen) nach wie vor eine gültige Zulassung des Heilmittelinstituts (Swissmedic) vorliegt (siehe auch die Liste der zugelassenen Präparate auf www.swissmedic.ch &gt; Arzneimittel &gt; Zugelassene Präparate &gt; Human- und Tierarzneimittel, abgerufen am 14. September 2016). Ebenfalls nicht umstritten ist, dass die genannten Arzneimittel die Zulassungsvoraussetzungen der Wirksamkeit und Zweckmässigkeit immer noch erfüllen. Umstritten und zu prüfen ist, ob die Vorinstanz den FAP korrekt vorgenommen hat. In diesem Zusammenhang gilt es weiter zu beurteilen, ob die Vorinstanz zu Recht die Überprüfung auf der Basis des APV unter Verzicht des TQV vorgenommen hat. Dabei ist angesichts des vom Bundesgericht mit BGE 142 V 26 bestätigten Grundsatzurteils des Bundesverwaltungsgerichts C-5912/2013 zu klären, ob die Vorinstanz die umstrittenen Medikamentenpreissenkungen ausschliesslich gestützt auf einen APV ohne Durchführung eines TQV verfügen durfte.</w:t>
      </w:r>
    </w:p>
    <w:p>
      <w:r>
        <w:rPr>
          <w:b/>
        </w:rPr>
        <w:t>E. 6.1</w:t>
      </w:r>
    </w:p>
    <w:p>
      <w:r>
        <w:t>Ein Arzneimittel gilt nach Art. 65b KVV als wirtschaftlich, wenn es die indizierte Heilwirkung mit möglichst geringem finanziellem Aufwand gewährleistet (Abs. 1). Die Wirtschaftlichkeit wird aufgrund des Vergleichs mit anderen Arzneimitteln und der Preisgestaltung im Ausland beurteilt (Abs. 2). Der APV erfolgt summarisch, wenn er mangels Zulassung in den Vergleichsländern zum Zeitpunkt des Gesuchs um Aufnahme nicht oder nur unvollständig vorgenommen werden kann (Abs. 3).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Nach Art. 34 Abs. 2 KLV werden für die Beurteilung der Wirtschaftlichkeit eines Arzneimittels berücksichtigt: dessen Fabrikabgabepreis im Ausland (Bst. a), dessen Wirksamkeit im Verhältnis zu anderen Arzneimitteln gleicher Indikation oder ähnlicher Wirkungsweise (Bst. b), dessen Kosten pro Tag oder Kur im Verhältnis zu den Kosten von Arzneimitteln gleicher Indikation oder ähnlicher Wirkungsweise (Bst. c) und bei einem Arzneimittel im Sinne von Art. 31 Abs. 2 Bst. a und b KLV ein Innovationszuschlag für die Dauer von höchstens 15 Jahren, in dem die Kosten für Forschung und Entwicklung angemessen zu berücksichtigen sind (Bst. d).</w:t>
      </w:r>
    </w:p>
    <w:p>
      <w:r>
        <w:rPr>
          <w:b/>
        </w:rPr>
        <w:t>E. 6.2</w:t>
      </w:r>
    </w:p>
    <w:p>
      <w:r>
        <w:t>Im Rahmen der dreijährlichen Überprüfung wird gemäss Art. 65d KVV bei der Beurteilung der Wirtschaftlichkeit der Vergleich mit anderen Arzneimitteln nur durchgeführt, wenn der Vergleich mit der Preisgestaltung im Ausland nicht möglich ist (Abs. 1bis Bst. a) oder seit der letzten Überprüfung der Aufnahmebedingungen eine Preissenkung nach Art. 65f Abs. 2 erster Satz KVV vorgenommen wurde (Abs. 1bis Bst. b). Das Departement kann beim APV eine Toleranzmarge vorsehen, mit der Wechselkursschwankungen berücksichtigt werden (Abs. 1ter). Ergibt die Überprüfung der Wirtschaftlichkeit aufgrund der umsatzstärksten Packung, dass der geltende Höchstpreis zu hoch ist, so verfügt das BAG auf den 1. November des Überprüfungsjahres eine angemessene Preissenkung (Abs. 2). Die Inhaberinnen der Zulassungen haben dem BAG alle notwendigen Unterlagen zuzustellen. Das Departement erlässt zum Verfahren der Überprüfung nähere Vorschriften (Abs. 3).</w:t>
      </w:r>
    </w:p>
    <w:p>
      <w:r>
        <w:rPr>
          <w:b/>
        </w:rPr>
        <w:t>E. 6.3</w:t>
      </w:r>
    </w:p>
    <w:p>
      <w:r>
        <w:t>Die Vorinstanz hat in der angefochtenen Verfügung festgehalten, dass bei der Überprüfung der Aufnahmebedingungen alle drei Jahre die Beurteilung der Wirtschaftlichkeit primär auf dem APV basiere. Der TQV komme bei der dreijährlichen Überprüfung der Aufnahmebedingungen nur in - hier nicht vorliegenden - Ausnahmefällen zur Anwendung. Der Verzicht auf einen TQV sei sachgerecht und verstosse nicht gegen das KVG. Die Beschwerdeführerin machte dagegen geltend, dass der FAP ausschliesslich anhand des TQV zu ermitteln sei bzw. beantragte sie im Falle eines APV, dass sämtliche Preise in den Referenzländer zu ermitteln seien. Dass die Wirtschaftlichkeit anhand des APV und des TQV zu beurteilen sei hat sie hingegen nicht explizit geltend gemacht. Da es dabei jedoch darum geht, die rechtmässige Anwendung von Bundesrecht zu beurteilen, gilt es, mit Blick auf den Umstand, dass das Bundesverwaltungsgericht eine derartige Prüfung grundsätzlich auch vorzunehmen hat, ohne dass die entsprechenden Rügen von der beschwerdeführenden Partei vorgebracht werden (vgl. BGE 122 IV 11 E. 1b mit Hinweisen), diese Frage dennoch zunächst zu klären.</w:t>
      </w:r>
    </w:p>
    <w:p>
      <w:r>
        <w:rPr>
          <w:b/>
        </w:rPr>
        <w:t>E. 6.4</w:t>
      </w:r>
    </w:p>
    <w:p>
      <w:r>
        <w:t>Wie das Bundesverwaltungsgericht im Grundsatzurteil C-5912/2013 entschieden hat, stellt eine Wirtschaftlichkeitsprüfung im Rahmen der dreijährlichen Überprüfung der Aufnahmebedingungen unter alleiniger Anwendung des APV keine rechtsgenügliche Wirtschaftlichkeitsprüfung dar, wie sie von Art. 32 Abs. 1 KVG vorgeschrieben wird. Das BAG stützte sich im beurteilten Fall auf Art. 65d Abs. 1bis Bst. a KVV, wonach bei der Beurteilung der Wirtschaftlichkeit der Vergleich mit anderen Arzneimitteln nur durchgeführt wird, wenn der Vergleich mit der Preisgestaltung im Ausland nicht möglich ist. Das Bundesverwaltungsgericht hat diese Verordnungsbestimmung als nicht gesetzeskonform qualifiziert (E. 8.3). Es hat festgehalten, dass der Begriff der Wirtschaftlichkeit im Prinzip sowohl für die Aufnahme eines Arzneimittels in die SL als auch bei der periodischen Überprüfung der Aufnahmebedingungen einheitlich zu definieren und zu prüfen sei. Es sei daran festzuhalten, dass der TQV einen wesensnotwendigen Bestandteil der Wirtschaftlichkeitsprüfung bilde. Eine Prüfung, welche sich auf den APV beschränke, obwohl ein TQV möglich wäre, könne offensichtlich nicht als umfassend im Sinne von Art. 32 Abs. 1 KVG bezeichnet werden, handle es sich dabei doch um eine einschränkende, unsachgemässe Konkretisierung des Wirtschaftlichkeitsgrundsatzes (E. 8.3.5). Der Verordnungsgeber sei nicht berechtigt einen anderen Massstab zur Beurteilung des in Art. 32 Abs. 1 KVG vorgesehenen Kriteriums der Wirtschaftlichkeit einzuführen und einen anderen (eingeschränkteren) als den bisher in steter Praxis als gesetzeskonform definierten Wirtschaftlichkeitsbegriff zu verwenden (E. 8.3). Die vorgenommene Preissenkung beruhe damit nicht auf einer ausreichenden Rechtsgrundlage, womit eine Verletzung des Legalitätsprinzips nach Art. 5 Abs. 1 BV vorliege, was zur Aufhebung der in casu angefochtenen Verfügung führe (E. 9).</w:t>
      </w:r>
    </w:p>
    <w:p>
      <w:r>
        <w:rPr>
          <w:b/>
        </w:rPr>
        <w:t>E. 6.5</w:t>
      </w:r>
    </w:p>
    <w:p>
      <w:r>
        <w:t>Mit Blick auf das dargelegte und vom Bundesgericht mit BGE 142 V 26 bestätigte Grundsatzurteil des Bundesverwaltungsgerichts C-5912/2013 ist festzuhalten, dass die von der Vorinstanz im Rahmen der dreijährlichen Prüfung allein gestützt auf den APV verfügte Preissenkung nicht auf einer ausreichenden Rechtsgrundlage beruht, was auch im vorliegenden Fall zur Aufhebung der angefochtenen Verfügung vom 10. September 2013 wie auch der lite pendente erlassenen Wiedererwägungsverfügung vom 3. Februar 2014 führt. Die Streitsache ist demnach an die Vorinstanz zur Vornahme einer neuen, umfassenden Wirtschaftlichkeitsprüfung im Sinne der Vorstehenden Erwägung zurückzuweisen. Die Überprüfung der Aufnahmebedingungen wird dabei anhand von APV und TQV vorzunehmen sein. Soweit die Beschwerdeführerin beantragt es sei der FAP ausschliesslich anhand des TQV zu bestimmen, ist ihr diesbezügliches Hauptbegehren abzuweisen. Nachdem der APV im Rahmen der neuen Prüfung durch die Vorinstanz ebenfalls zu berücksichtigen ist, drängt sich nachfolgend eine Beurteilung der von der Beschwerdeführerin gegen den im konkreten Fall vorgenommenen APV erhobenen Einwendungen auf.</w:t>
      </w:r>
    </w:p>
    <w:p>
      <w:r>
        <w:rPr>
          <w:b/>
        </w:rPr>
        <w:t>E. 6.6.1</w:t>
      </w:r>
    </w:p>
    <w:p>
      <w:r>
        <w:t>Die Beschwerdeführerin rügt im Zusammenhang mit der Vornahme des APV, bei den in der Schweiz und den in den Referenzländern vertriebenen Einheiten von H._______ und Z._______ (Packungen 1 - 3) handle es sich nicht um dieselben Arzneimittel gemäss Art 35 KLV, weil diese vollkommen unabhängig voneinander von verschiedenen Unternehmen produziert und vertrieben würden. Aufgrund des Verkaufs sämtlicher im Zusammenhang mit den Arzneimitteln bestehenden Rechte an unabhängige Drittunternehmen bzw. durch den Parallelimport befinde sich der FAP sowie allgemein die Herstellung und der Vertrieb in sämtlichen Referenzländern, in denen H._______, Z._______ (Packungen 1 - 3 ) auf dem Markt seien ausserhalb des Einflussbereichs der Beschwerdeführerin. Ziff. C.3.5 SL-Handbuch dehne den Kreis der für den APV massgebenden ausländischen Vertreiber erheblich über den rechtlichen Rahmen von Art. 35b Abs. 4 Bst. a KLV hinaus aus. Als Verwaltungsverordnung stelle sie jedoch keine Rechtsquelle des Verwaltungsrechts dar und könne insbesondere keine Rechte und Pflichten Privater begründen. Stütze sich die Vorinstanz bei der Feststellung, dass auch vollkommen unabhängige Rechtsnachfolger zu berücksichtigen seien auf Ziff. C.3.5 des SL-Handbuchs, so sprenge dies den Rahmen der KLV. Die Vorinstanz habe sich einzig auf das KVG, die KVV sowie die KLV zu stützen und könne nicht die von ihr selbst aufgestellten Bestimmungen im SL-Handbuch heranziehen. Mithin verletzte dies das Legalitätsprinzip. Die Voraussetzungen für die Durchführung eines APV seien nicht erfüllt, weil die Beschwerdeführerin keine Kontrolle und Einflussmöglichkeit auf die Preisfestsetzung von H._______, Z._______ (Packungen 1 - 3) habe. Da folglich bei diesen Arzneimitteln kein APV durchgeführt werden könne, habe gemäss Art. 65 Abs. 1bis KVV eine Preisüberprüfung allein aufgrund des TQV zu erfolgen (BVGer-act. 1, Rz. 30-55; BVGer-act. 15, Rz. 20-31).</w:t>
      </w:r>
    </w:p>
    <w:p>
      <w:r>
        <w:rPr>
          <w:b/>
        </w:rPr>
        <w:t>E. 6.6.2</w:t>
      </w:r>
    </w:p>
    <w:p>
      <w:r>
        <w:t>Dagegen wendet die Vorinstanz ein, sowohl aus Art. 34 Abs. 2 Bst. a KLV als auch aus Art. 35 Abs. 1 KLV gehe hervor, dass ein APV erfolge, wenn ein gleiches Arzneimittel in den Referenzländern im Handel sei. Ziff. C.3.5 SL-Handbuch führe diese zwei Bestimmungen lediglich näher aus und habe damit ihre Grundlage auf Stufe KLV. Hingegen könne weder aus der KVV noch aus der KLV der Schluss gezogen werden, dass die Zulassungsinhaberin zwingend Einfluss auf die Preisbildung im Ausland haben müsse. Aus Art. 35b Abs. 4 Bst. a KLV könne nicht abgeleitet werden, dass die Zulassungsinhaberinnen in der Schweiz und im Ausland identisch sein müssten. Die Bestimmung verstehe sich nicht abschliessend, sondern erwähne lediglich den in der Praxis üblichen Fall. Art. 35 KLV sehe lediglich vor, dass mit denselben Arzneimitteln in Ländern mit wirtschaftlich vergleichbaren Strukturen im Pharmabereich verglichen werde. Damit werde jedoch nicht festgelegt, dass mit denselben Arzneimitteln desselben Unternehmens verglichen werden müsse. Ziff. C.3.5 des SL-Handbuchs schliesse nicht aus, dass in Fällen, in denen keine Auslandsvertretung der Zulassungsinhaberin in der Schweiz vorhanden sei, mit anderen Zulassungsinhaberinnen zu vergleichen sei, welche das Medikament in den Referenzländern vertreiben würden. Es handle sich bei H._______, Z._______ (Packungen 1 - 3) und der Schweiz und den Referenzländern um dieselben Arzneimittel mit gleicher Wirkstoffzusammensetzung und gleichen Indikationen. Dabei spiele es keine Rolle, ob in den Referenzländern ein unabhängiges Drittunternehmen sämtliche Rechte an den Medikamenten erworben habe (BVGer-act. 11 Rz. 30-42). Eine Verletzung des Legalitätsprinzips liege mithin nicht vor (BVGer-act. 11 Rz. 50-56; BVGer-act 19 Rz. 9-18).</w:t>
      </w:r>
    </w:p>
    <w:p>
      <w:r>
        <w:rPr>
          <w:b/>
        </w:rPr>
        <w:t>E. 6.6.3</w:t>
      </w:r>
    </w:p>
    <w:p>
      <w:r>
        <w:t>Gestützt auf Art. 65d Abs. 3 KVV ist das Departement ermächtigt, zum Verfahren der Überprüfung der Aufnahmebedingungen alle drei Jahre nähere Vorschriften zu erlassen. Von dieser Befugnis hat der Verordnungsgeber mit dem Erlass der Vollzugs- beziehungsweise Ausführungsbestimmung in Art. 35b KLV Gebrauch gemacht. Art. 35b Abs. 4 Bst. a KLV sieht vor, dass die Zulassungsinhaberin dem BAG (bis zum 31. Mai des Überprüfungsjahres) die von einer zeichnungsberechtigten Person der zuständigen Auslandsvertretung der Zulassungsinhaberin bestätigten, am 1. April des Überprüfungsjahres geltenden Fabrikabgabepreise aller Vergleichsländer nach Art. 35 Abs. 2 KLV einzureichen hat. Wie das Bundesverwaltungsgericht in seinem Grundsatzurteil C-356/2013 vom 24. November 2016 festgehalten hat (E. 7.5), hat der Verordnungsgeber damit den Regelfall im Auge, wonach das entsprechende Arzneimittel im Ausland durch dasselbe Unternehmen, eine Tochtergesellschaft oder eine Lizenznehmerin vertrieben wird. Dass in Fällen, wo die Zulassungsinhaberin das Arzneimittel mit allen hiermit verbundenen Rechten und Pflichten auf eine Drittperson im Ausland übertragen hat, ein APV nicht mehr zulässig sein soll, kann mit Rücksicht auf eine systematische und teleologische Auslegung der Norm nicht angenommen werden. Soweit die Beschwerdeführerin diese Schlussfolgerung aus Art. 35b Abs. 4 KLV herleitet, beruht ihre Interpretation auf einer zu engen, rein grammatikalischen Auslegung der Norm. Wird darüber hinaus auch der Sinn und Zweck der Verordnungsbestimmung miteinbezogen, so wird klar, dass es vorliegend nicht um die Bekämpfung einer (allenfalls wettbewerbsrechtlich relevanten) missbräuchlichen Einflussnahme auf die Preise der in den Vergleichsländern vertriebenen Produkte geht. Im Gegenteil vermag gerade der Vergleich mit Arzneimittelpreisen von ausländischen Unternehmen, welche von der schweizerischen Zulassungsinhaberin unabhängig sind, das mit dem APV verfolgte Ziel noch besser zu gewährleisten; denn damit kann verhindert werden, dass die schweizerische Zulassungsinhaberin durch entsprechende Massnahmen starke Preissenkungen verhindert (vgl. dazu Gutachten Thomas Gächter/Arlette Meienberger, in: Evaluation der Zulassung und Überprüfung von Medikamenten in der obligatorischen Krankenpflegeversicherung - Materialien zum Bericht der Parlamentarischen Verwaltungskontrolle zuhanden der Geschäftsprüfungskommission des Ständerates vom 13. Juni 2013, Rz. 159 f., abrufbar unter &lt; http://www.parlament.ch/d/organe-mitglieder/kommissionen/parla-mentarische-verwaltungskontrolle/Documents/matx-medikamente-total. pdf &gt;, abgerufen am 8. September 2016). Wenn in Ziff. 3.5 des SL-Handbuchs ausgeführt wird, es werde grundsätzlich mit den gleichen Arzneimitteln desselben Unternehmens, einer Tochtergesellschaft oder einer Lizenznehmerin verglichen, so wird damit lediglich auf den Regelfall Bezug genommen, wonach die Zulassungsinhaber regelmässig innerhalb international verflochtener Konzernstrukturen tätig sind. Ein APV ist demnach auch dann zulässig, wenn das Arzneimittel auf einen Rechtsnachfolger (z.B. durch Fusion oder Verkauf der Vertriebsrechte) übertragen worden ist. So sieht dies auch Ziff. C 3.5 des SL-Handbuchs entsprechend vor, wenn darin ausgeführt wird, dass auch mit Arzneimitteln eines Rechtsnachfolgers (z.B. durch Fusion oder Verkauf der Vertriebsrechte) verglichen werden darf. Demnach kann der entsprechenden Argumentation der Beschwerdeführerin nicht gefolgt werden. Damit steht die Übertragung der Vertriebsrechte auf einen Rechtsnachfolger dem Einbezug des entsprechenden Arzneimittels in den APV nicht entgegen. Da sich diese Schlussfolgerung - wie oben ausgeführt - auf die massgeblichen Bestimmungen der KVV und der KLV stützt, stellt Ziff. C.3.5 lediglich eine Konkretisierung dieser Bestimmungen dar. Die gerügte Verletzung des Legalitätsprinzips erweist sich folglich als unbegründet.</w:t>
      </w:r>
    </w:p>
    <w:p>
      <w:r>
        <w:rPr>
          <w:b/>
        </w:rPr>
        <w:t>E. 6.7.1</w:t>
      </w:r>
    </w:p>
    <w:p>
      <w:r>
        <w:t>Die Beschwerdeführerin macht ferner geltend, die Vorinstanz habe in unzulässiger Weise das Referenzland der Niederlande beim APV von Z._______ (Packungen 1 - 3) nicht berücksichtigt. Zur Begründung bringt sie im Wesentlichen vor, es treffe sie keine rechtliche Pflicht, die FAP der Referenzländer erhältlich zu machen, wenn es sich dabei um ein unabhängiges Vertriebsunternehmen handle. Sei es ihr - wie im vorliegenden Fall - nicht möglich, den FAP zu ermitteln, sei es die Pflicht der Vorinstanz, den FAP in Kenntnis zu bringen. Die KLV sehe nicht vor, dass der APV - wie vorliegend der Fall - nur mit einer Auswahl von Referenzländern durchgeführt werde, weshalb die Weigerung der Vorinstanz, den FAP in den Niederlanden zu erheben die KLV verletzte (BVGer act. 1, Rz. 56-59; BVGer-act. 15 Rz. 32-38).</w:t>
      </w:r>
    </w:p>
    <w:p>
      <w:r>
        <w:rPr>
          <w:b/>
        </w:rPr>
        <w:t>E. 6.7.2</w:t>
      </w:r>
    </w:p>
    <w:p>
      <w:r>
        <w:t>Dagegen wendet die Vorinstanz ein, sie habe die Preise in Dänemark und den Niederlanden für H._______, Z._______ (Packungen 1 - 3) nicht feststellen können, da diese nicht öffentlich zugänglich seien bzw. auch den dortigen Behörden keine FAP bekannt seien. Es sei nicht nachvollziehbar, weshalb die Beschwerdeführerin keine schriftliche Bestätigung der Nachfolgeunternehmen eingereicht habe, in welcher bestätigt werde, dass diese die Preisangabe verweigerten. Die Vorinstanz habe alle Zulassungsinhaberinnen gleich behandelt. Sobald ein APV möglich gewesen sei, sei dieser durchgeführt worden. Im vorliegenden Fall habe die FAP für H._______ aus Deutschland und Österreich, für Z._______ aus Frankreich, Grossbritannien und Österreich sowie für Z._______ (Packungen 2, 3) für Deutschland und Österreich vorgelegen. Ein APV sei somit zwingend durchzuführen gewesen (BVGer-act. 11 Rz. 43-48; BVGer-act. 19 Rz. 27-34).</w:t>
      </w:r>
    </w:p>
    <w:p>
      <w:r>
        <w:rPr>
          <w:b/>
        </w:rPr>
        <w:t>E. 6.7.3</w:t>
      </w:r>
    </w:p>
    <w:p>
      <w:r>
        <w:t>Diesbezüglich hat das Bundesverwaltungsgericht im erwähnten Grundsatzentscheid C-356/2013 vom 24. November 2016 (vgl. E. 8 und E. 9) festgestellt, dass der Zulassungsinhaberin nicht nur bei der Aufnahme, sondern auch bei der dreijährlichen Überprüfung erhebliche Mitwirkungspflichten obliegen, indem sie dem BAG gemäss Art. 65d Abs. 3 Satz 2 KVV alle notwendigen Unterlagen zuzustellen hat. Diese Mitwirkungspflichten greifen - wie im vorliegenden Fall - auch dann, wenn eine rechtliche oder wirtschaftliche Beziehung der Zulassungsinhaberin mit einem ausländischen Anbieter nicht (mehr) besteht. Auch in diesen Fällen hat die Zulassungsinhaberin alles ihr Mögliche und Zumutbare zu unternehmen, um den APV im Vergleichsland zu ermöglichen. Insbesondere darf das BAG von der schweizerischen Zulassungsinhaberin verlangen, dass diese von im Ausland domizilierten, wirtschaftlich von ihr unabhängigen Unternehmen Angaben zum FAP im Ausland erhältlich macht. Durch diese Mitwirkungspflichten werden keine (unzulässige) neue Rechtspflichten begründet. Dem Einwand der Beschwerdeführerin kann somit nicht gefolgt werden. Dies umso weniger als sie nicht substantiiert darlegt, welche Nachteile eine Mitwirkung für sie haben soll. Ebenso wenig kann sie aus einer fehlenden Mitwirkung etwas zu ihren Gunsten ableiten.</w:t>
      </w:r>
    </w:p>
    <w:p>
      <w:r>
        <w:rPr>
          <w:b/>
        </w:rPr>
        <w:t>E. 6.7.4</w:t>
      </w:r>
    </w:p>
    <w:p>
      <w:r>
        <w:t>Dass die Vorinstanz unter diesen Umständen den APV auf die vier Referenzländer Deutschland, Österreich, Frankreich und Grossbritannien beschränkte, ohne den FAP in Dänemark und in den Niederlanden mangels Angaben zu berücksichtigen, ist demnach nicht zu beanstanden.</w:t>
      </w:r>
    </w:p>
    <w:p>
      <w:r>
        <w:rPr>
          <w:b/>
        </w:rPr>
        <w:t>E. 7</w:t>
      </w:r>
    </w:p>
    <w:p>
      <w:r>
        <w:t>Zusammenfassend ergibt sich, dass bei der dreijährlichen Prüfung der Wirksamkeit, Zweckmässigkeit und Wirtschaftlichkeit von Arzneimitteln dieselben Prüfkriterien wie bei der Aufnahme eines Arzneimittels in die Spezialitätenliste anzuwenden sind; die Wirtschaftlichkeitsprüfung nach Art. 32 KVG hat dabei auf den beiden Elementen TQV und APV zu basieren. Die Vornahme des APV setzt nicht zwingend voraus, dass die ausländische Zulassungsinhaberin nach wie vor wirtschaftlich (z.B. als Konzerntochter) oder rechtlich (z.B. als Lizenznehmerin) mit der schweizerischen Zulassungsinhaberin verbunden ist. Falls der APV mit den der Referenzländer Dänemark und Niederlande nicht durchgeführt werden kann, darf das BAG beim APV auch auf das Ergebnis aus dem Vergleich mit den übrigen Referenzländer Deutschland, Österreich, Frankreich und Grossbritannien abstellen. Aus den dargelegten Gründen ist die Beschwerde in dem Sinne gutzuheissen, dass die Angelegenheit, wie ausgeführt, in Aufhebung der angefochtenen Verfügung an die Vorinstanz zur Vornahme einer umfassenden Prüfung der Aufnahmebedingungen (unter Einschluss von APV und TQV) und anschliessend neuer Verfügung zurückzuweisen ist.</w:t>
      </w:r>
    </w:p>
    <w:p>
      <w:r>
        <w:rPr>
          <w:b/>
        </w:rPr>
        <w:t>E. 8</w:t>
      </w:r>
    </w:p>
    <w:p>
      <w:r>
        <w:t>Zu befinden bleibt über die Verfahrenskosten und eine allfällige Parteientschädigung.</w:t>
      </w:r>
    </w:p>
    <w:p>
      <w:r>
        <w:rPr>
          <w:b/>
        </w:rPr>
        <w:t>E. 8.1</w:t>
      </w:r>
    </w:p>
    <w:p>
      <w:r>
        <w:t>Das Bundesverwaltungsgericht auferlegt gemäss Art. 63 Abs. 1 und Abs. 3 VwVG die Verfahrenskosten in der Regel der unterliegenden Partei. Eine Rückweisung gilt praxisgemäss als Obsiegen der beschwerdeführenden Partei (vgl. BGE 137 V 57 E. 2.1 m.H.), weshalb der Beschwerdeführerin im vorliegenden Fall keine Verfahrenskosten aufzuerlegen sind. Der geleistete Kostenvorschuss von Fr. 4'000.- ist ihr nach Eintritt der Rechtskraft des vorliegenden Urteils zurückzuerstatten. Vorinstanzen werden keine Verfahrenskosten auferlegt (Art. 63 Abs. 2 VwVG).</w:t>
      </w:r>
    </w:p>
    <w:p>
      <w:r>
        <w:rPr>
          <w:b/>
        </w:rPr>
        <w:t>E. 8.2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 Die von der Beschwerdeführerin geltend gemachte Parteientschädigung von insgesamt Fr. 25'131.- ergibt sich aus dem Aufwand für die Erstellung der 29-seitigen Beschwerdeschrift, der 16-seitigen Replik sowie des Aktenstudiums und diverser Korrespondenzen und Telefonaten (vgl. Beilage zu BVGer-act. 22). Hierfür wird ein Zeitaufwand 15.70 Std. (Partner), 38.20 Std. (2. Vertreterin) und 50.10 Std. (Mitarbeiter) total mithin 114.20 Std., geltend gemacht. Dabei fällt auf, dass für die Erstellung der Beschwerdeschrift ein Aufwand von 59.40 Std. aufgeführt wird; demgegenüber beläuft sich der Aufwand für die Ausarbeitung der Replik auf total 23.70 Std. Dieser geltend gemachte Aufwand erscheint als zu hoch bemessen. So war dem Rechtsvertreter der massgebliche Sachverhalt und die sich stellenden Rechtsfragen mehrheitlich bereits aus dem vorinstanzlichen Verfahren bekannt. Weiter fällt auf, dass die Replik in materieller Hinsicht Wiederholungen enthält. Es ist auch nicht nachvollziehbar, weshalb sich der Rechtsvertreter durch einen andren Rechtsanwalt assistieren liess. Unter Berücksichtigung des gebotenen und aktenkundigen Aufwands, der Bedeutung der Streitsache und der Schwierigkeit der vorliegend zu beurteilenden Fragen, sowie im Vergleich zu anderen Verfahren betreffend die Spezialitätenliste ist der Beschwerdeführerin zu Lasten der Vorinstanz eine Parteientschädigung von Fr. 8'000.- (inkl. Mehrwertsteuerzuschlag im Sinne von Art. 9 Abs. 1 Bst. c VGKE) als angemessen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