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C-581/2008 vom 27. März 2009</w:t>
      </w:r>
    </w:p>
    <w:p>
      <w:r>
        <w:t>Bundesverwaltungsgericht, 2009-03-27, DE</w:t>
      </w:r>
    </w:p>
    <w:p>
      <w:r>
        <w:rPr>
          <w:b/>
        </w:rPr>
        <w:t xml:space="preserve">Quelle: </w:t>
      </w:r>
      <w:r>
        <w:t>https://mcp.opencaselaw.ch/entscheid/bvger_C-581_2008</w:t>
      </w:r>
    </w:p>
    <w:p>
      <w:r>
        <w:t>FR: TAF C-581/2008 du 27 mars 2009</w:t>
      </w:r>
    </w:p>
    <w:p>
      <w:r>
        <w:t>IT: TAF C-581/2008 del 27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 der Dominikanischen Republik unterliegen die Gesuchstellerin und ihre Tochter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Nach einer durch den Zusammenbruch dreier grosser Geschäftsbanken verursachten schweren Wirtschaftskrise im Jahre 2003 konnte sich die Wirtschaft der Dominikanischen Republik - dank der Konsolidierungspolitik des im August 2004 gewählten (und im Mai 2008 wiedergewählten) Präsidenten Leonel Fernàndez Reyna - in beeindruckender Kürze erholen. Beleg dafür ist, anknüpfend an die hohen Wachstumsraten in den 90er Jahren, das seit 2005 anhaltende Wirtschaftswachstum, welches - bei einer verhältnismässig niedrigen Inflationsrate von 5% - im Jahre 2006 10,7% betrug. Mit diesem Erfolg ist die Dominikanische Republik aus der Kategorie der Risikoländer herausgefallen und wird von den anerkannten Ratingagenturen als "B-Land" eingestuft. Nach einer Senkung der Arbeitslosigkeit im Jahr 2005 ist die Arbeitslosenquote im Jahr 2006 nochmals leicht auf knapp 16,2% gesunken. Insgesamt wächst allerdings die Kritik der Bevölkerung, da das neue Wachstum bisher nicht ausreicht, um neue Arbeitsplätze zu schaffen (nur 286'000 Arbeitsplätze im Zeitraum 2004 - 2006) bzw. keine spürbare Verbesserung der Lebensbedingungen der bedürftigen Schichten gebracht hat. Die Regierung hat zwar mittlerweile mit verschiedenen Massnahmen auf diese Kritik reagiert; dennoch ist eine Entlastung auf dem Arbeitsmarkt mittelfristig nicht zu erwarten (Quelle: www.auswaertiges-amt.de, Stand Februar 2008; vgl. dazu Urteil des Bundesverwaltungsgerichts C-4517/2007 vom 18. Oktober 2008 E. 5.1). 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8.1</w:t>
      </w:r>
    </w:p>
    <w:p>
      <w:r>
        <w:t>Bei der Gesuchstellerin handelt es sich um eine 27-jährige, unverheiratete Frau, welche mit ihrem Lebenspartner und der gemeinsamen (mittlerweile dreieinhalbjährigen) Tochter in Hausgemeinschaft lebt. Auf den ersten Blick könnte der Umstand, dass sie für die Dauer ihres Besuchsaufenthaltes in der Schweiz den Lebenspartner in der Heimat zurücklassen würde, durchaus für eine gewisse Verwurzelung sprechen. Andererseits gilt es zu berücksichtigen, dass die Eingeladene nicht alleine, sondern gemeinsam mit ihrer Tochter in die Schweiz zu reisen beabsichtigt, wo auch ihre Mutter und somit eine weitere wichtige Bezugsperson lebt. Die Erfahrung zeigt aber auch, dass zurückbleibende Angehörige gerade in Situationen angespannter wirtschaftlicher Verhältnisse nicht verlässlich davon abhalten können, den Entschluss für eine Emigration zu fällen. Im Gegenteil, der Entscheid kann dabei von der Hoffnung getragen sein, die Zurückgebliebenen aus dem Ausland effizienter unterstützen und später allenfalls gar nachziehen zu können.</w:t>
      </w:r>
    </w:p>
    <w:p>
      <w:r>
        <w:rPr>
          <w:b/>
        </w:rPr>
        <w:t>E. 8.2</w:t>
      </w:r>
    </w:p>
    <w:p>
      <w:r>
        <w:t>Entsprechend grosse Bedeutung kommt deshalb den wirtschaftlichen Verhältnissen zu, in denen sich die Eingeladene befindet. Anlässlich ihrer Gesuchseinreichung gab diese an, in einer Firma angestellt zu sein (vgl. Ziff. 9 und 10 des persönlichen Einreisegesuches vom 26. April 2007). Entsprechende Arbeitsbestätigungen oder allfällige Einkommensbelege, welche die angeblichen beruflichen Bindungen der Gesuchstellerin in der Dominikanischen Republik zweifelsfrei nachgewiesen hätten, wurden hingegen von den Beteiligten weder während des vorinstanzlichen Verfahrens noch auf Beschwerdeebene vorgewiesen. Unbeantwortet blieb auch die von der Vorinstanz aufgeworfene Frage, wie sich eine dreimonatige Abwesenheit mit den Verbindlichkeiten aus dem Arbeitsverhältnis vertragen würde. Aus den Akten ergeben sich auch keine Hinweise auf die Erwerbssituation des Lebenspartners. Insofern darf bezweifelt werden, dass der Eingeladenen im Heimatland zwingende Verpflichtungen obliegen, die sie ernsthaft davon abhalten könnten, den Entschluss für eine Emigration zu fällen. Vor diesem Hintergrund müssen die Beteuerungen der Beschwerdeführer, wonach genügend Garantien für eine fristgerechte Wiederausreise vorhanden seien, als nicht ausschlaggebend bezeichnet werden.</w:t>
      </w:r>
    </w:p>
    <w:p>
      <w:r>
        <w:rPr>
          <w:b/>
        </w:rPr>
        <w:t>E. 8.3</w:t>
      </w:r>
    </w:p>
    <w:p>
      <w:r>
        <w:t>Vor dem aufgezeigten persönlichen und allgemeinen Hintergrund durfte die Vorinstanz daher zu Recht davon ausgehen, die Wiederausreise der Gesuchstellerin und ihrer Tochter sei im Sinne der massgeblichen Bestimmungen nicht gesichert. An der Richtigkeit dieser Einschätzung ändert auch die Tatsache nichts, dass die Beschwerdeführer die rechtzeitige Rückkehr der eingeladenen Personen zugesichert haben, denn eine solche Garantie ist trotz bester und ehrlicher Absichten nicht möglich bzw. rechtlich nicht durchsetzbar. Gastgeber können zwar für gewisse finanzielle Risiken im Zusammenhang mit dem Besuchsaufenthalt, nicht aber - mangels rechtlicher und faktischer Durchsetzbarkeit - für ein bestimmtes Verhalten ihrer Gäste garantieren (vgl. anstelle vieler: Urteil des Bundesverwaltungsgerichts C-6950/2007 vom 7. November 2008 E. 8). Der (durchaus verständliche) Wunsch der Gesuchstellerin, ihrer Mutter nach deren Herzklappen-Operation beizustehen, hat demnach in den Hintergrund zu treten, zumal die Patientin fraglos auf die Unterstützung von Verwandten oder Bekannten in der Schweiz zählen kann.</w:t>
      </w:r>
    </w:p>
    <w:p>
      <w:r>
        <w:rPr>
          <w:b/>
        </w:rPr>
        <w:t>E. 8.4</w:t>
      </w:r>
    </w:p>
    <w:p>
      <w:r>
        <w:t>Soweit die Beschwerdeführer schliesslich vorbringen, sämtliche bisherigen Gäste aus der Dominikanischen Republik seien stets fristgerecht in ihr Heimatland zurückgekehrt, gilt es darauf hinzuweisen, dass sich mangels näherer Angaben einerseits nicht eruieren lässt, unter welchen Umständen diesen Personen (Schwester, Cousine sowie Kollegin der Beschwerdeführerin) in der Vergangenheit ein Einreisevisum erteilt wurde. Andererseits weist jeder Einzelfall - wie vorliegend belegt - eine ihm eigene und spezifische Konstellation auf, so dass er nicht ohne weiteres mit anderen, angeblich gleich gelagerten Fällen verglichen werden kann.</w:t>
      </w:r>
    </w:p>
    <w:p>
      <w:r>
        <w:rPr>
          <w:b/>
        </w:rPr>
        <w:t>E. 9</w:t>
      </w:r>
    </w:p>
    <w:p>
      <w:r>
        <w:t>Aus den dargelegten Gründen ist somit nicht zu beanstanden, dass die Vorinstanz das öffentliche Interesse sowie die Beachtung der geltenden Bestimmungen entsprechend gewichtete und der Gesuchstellerin und ihrer Tochter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10</w:t>
      </w:r>
    </w:p>
    <w:p>
      <w:r>
        <w:t>Dem Ausgang des Verfahrens entsprechend werden die unterliegenden Beschwerdeführer kostenpflichtig (Art. 63 Abs. 1 VwVG). Die Verfahrenskosten sind auf Fr. 600.- festzusetzen (Art. 1, Art. 2 und Art.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