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C-5817/2009 vom 2. November 2010</w:t>
      </w:r>
    </w:p>
    <w:p>
      <w:r>
        <w:t>Bundesverwaltungsgericht, 2010-11-02, IT</w:t>
      </w:r>
    </w:p>
    <w:p>
      <w:r>
        <w:rPr>
          <w:b/>
        </w:rPr>
        <w:t xml:space="preserve">Quelle: </w:t>
      </w:r>
      <w:r>
        <w:t>https://mcp.opencaselaw.ch/entscheid/bvger_C-5817_2009</w:t>
      </w:r>
    </w:p>
    <w:p>
      <w:r>
        <w:t>FR: TAF C-5817/2009 du 2 novembre 2010</w:t>
      </w:r>
    </w:p>
    <w:p>
      <w:r>
        <w:t>IT: TAF C-5817/2009 del 2 novembre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w:t>
      </w:r>
    </w:p>
    <w:p>
      <w:r>
        <w:t>In deroga all'art. 24 cpv. 1 LPGA, il quale prevede che il diritto a prestazioni arretrate si estingue cinque anni dopo la fine del mese per cui era dovuta la prestazione,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24 aprile 2006. Questo Tribunale può quindi limitarsi ad esaminare se il ricorrente avesse diritto ad una rendita il 24 aprile 2005 (ossia dodici mesi precedenti la presentazione della domanda), oppure se un diritto alla rendita fosse sorto tra tale data e il 22 luglio 2009,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7.1</w:t>
      </w:r>
    </w:p>
    <w:p>
      <w:r>
        <w:t>Una rendita d'invalidità limitata nel tempo corrisponde, materialmente, ad una revisione ai sensi dell'art. 17 cpv. 1 LPGA. Bisogna perciò conformarsi ai principi di questa disposizione per verificare la legalità della decisione impugnata. Secondo l'art. 17 cpv. 1 LPGA, se il grado d'invalidità del beneficiario della rendita subisce una notevole modificazione, per il futuro la rendita è aumentata o ridotta proporzionalmente o soppressa, d'ufficio o su richiesta. 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B._______nuerà a durare (art. 88a cpv. 1 dell'ordinanza federale sull'assicurazione per l'invalidità [OAI, RS 831.201]).</w:t>
      </w:r>
    </w:p>
    <w:p>
      <w:r>
        <w:rPr>
          <w:b/>
        </w:rPr>
        <w:t>E. 7.2</w:t>
      </w:r>
    </w:p>
    <w:p>
      <w:r>
        <w:t>Assegnando retroattivamente una rendita d'invalidità degressiva e/o limitata nel tempo, l'autorità amministrativa disciplina un rapporto giuridico suscettibile di essere, in caso di contestazione, oggetto della lite e dell'impugnazione.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w:t>
      </w:r>
    </w:p>
    <w:p>
      <w:r>
        <w:rPr>
          <w:b/>
        </w:rPr>
        <w:t>E. 8</w:t>
      </w:r>
    </w:p>
    <w:p>
      <w:r>
        <w:t>In concreto, come risulta dall'incarto e, in particolare, dal questionario per il datore di lavoro del 23 aprile 2003 (incarto AI, doc. 8/1 a 3), il ricorrente ha operato in qualità di meccanico, durante otto ore al giorno e quaranta ore alla settimana, dal 9 ottobre 1995 al 22 aprile 2005, quando ha dovuto smettere di lavorare a causa del noto infortunio. Egli ha quindi ripreso la sua attività, nella misura del 30%, dal giugno 2006, ed è poi stato licenziato per la fine d'ottobre 2007. Date queste circostanze, è necessario fondarsi sulla documentazione medica per valutare la capacità lavorativa del ricorrente (cfr. consid. 6.6).</w:t>
      </w:r>
    </w:p>
    <w:p>
      <w:r>
        <w:rPr>
          <w:b/>
        </w:rPr>
        <w:t>E. 9.1</w:t>
      </w:r>
    </w:p>
    <w:p>
      <w:r>
        <w:t>Dall'insieme della documentazione medica agli atti e, in particolare, dalla perizia E 213 del dott. L._______, medico dell'INPS, del 19 settembre 2006 (incarto AI, doc. 12/1 a 11), dal rapporto del dott. F._______, del 1° aprile 2008 (incarto Suva, doc. 63/1 a 3), dalla presa di posizione del dott. M._______, medico dell'UAI-TI, del 22 luglio 2008 (incarto AI, doc. 19/1), e dai rapporti dei medici della Suva, ossia dei dott.ri E._______, del 26 settembre 2007 (incarto Suva, doc. 55/1 a 3 e 56/1), e N._______, del 22 settembre 2008 e del 24 marzo 2009 (incarto Suva, doc. 68/1 a 5 e 81/1 a 13), come pure della dott.ssa H._______, del 20 marzo 2009 (incarto Suva, doc. 79 e 80), risulta la diagnosi, dai punti di vista neurologico ed oftalmologico, di stato da trauma cranio-cerebrale, di persistenza di ptosi, d'oftalmoplegia parziale a sinistra con diplopia verticale su lesione del nervo oculo-motorio, di minima lesione centrale del nervo facciale a sinistra e di persistenza di deficit neuro-psicologici da minimi a lievi. Questa diagnosi è univoca agli atti e non contestata dal ricorrente, per cui il collegio giudicante non può che aderirvi.</w:t>
      </w:r>
    </w:p>
    <w:p>
      <w:r>
        <w:rPr>
          <w:b/>
        </w:rPr>
        <w:t>E. 9.2</w:t>
      </w:r>
    </w:p>
    <w:p>
      <w:r>
        <w:t>È opportuno rammentare che le affezioni appena menzionate devono, dal profilo giuridico, essere esaminate alla luce dell'art. 29 cpv. 1 lett. b LAI. Si tratta,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dell'invalidità solo a partire dal momento in cui ha subito, senza interruzione notevole, un'incapacità lavorativa media del 40% almeno durante un anno.</w:t>
      </w:r>
    </w:p>
    <w:p>
      <w:r>
        <w:rPr>
          <w:b/>
        </w:rPr>
        <w:t>E. 10.1</w:t>
      </w:r>
    </w:p>
    <w:p>
      <w:r>
        <w:t>Per quanto concerne le conseguenze invalidanti delle affezioni diagnosticate sulla sua capacità lavorativa, il ricorrente non contesta il riconoscimento del suo diritto ad una rendita intera d'invalidità dal 1° aprile 2006, ossia un anno dopo l'infortunio (art. 29 cpv. 1 lett. a LAI, testo in vigore fino al 31 dicembre 2007), ma la soppressione della stessa al 31 dicembre 2007, chiedendo che gli sia attribuita una mezza rendita a decorrere dal 1° gennaio 2008.</w:t>
      </w:r>
    </w:p>
    <w:p>
      <w:r>
        <w:rPr>
          <w:b/>
        </w:rPr>
        <w:t>E. 10.2</w:t>
      </w:r>
    </w:p>
    <w:p>
      <w:r>
        <w:t>Rispetto alle dette conseguenze, il dott. L._______ ha stabilito, nella sua perizia E 213, riferendosi a delle condizioni generali di salute migliorate, che il ricorrente può svolgere regolarmente lavori leggeri confacenti nella misura del 70%, senza controindicazioni, ma che non è più in grado di esercitare a tempo pieno l'attività di meccanico d'auto, fissando un grado d'invalidità, secondo il diritto italiano, del 50%.</w:t>
      </w:r>
    </w:p>
    <w:p>
      <w:r>
        <w:rPr>
          <w:b/>
        </w:rPr>
        <w:t>E. 10.3</w:t>
      </w:r>
    </w:p>
    <w:p>
      <w:r>
        <w:t>Nel suo rapporto relativo alla visita medica di chiusura della Suva, il dott. E._______ ha formulato, per l'attività di meccanico, un'incapacità lavorativa del 70% dal 6 giugno 2006 e, a decorrere dal 26 settembre 2007, una capacità lavorativa nella massima misura possibile, sottolineando che "tutto sommato si può pretendere dall'assicurato un impegno di circa sei ore e mezzo a sette ore al giorno, purché egli non venga messo troppo sotto pressione e possa eseguire un'attività alla volta e non debba pianificare o prestare attenzione a più cose contemporaneamente. Lavorando circa quattro ore al mattino e due ore al pomeriggio, potendo quindi effettuare una pausa di mezzogiorno abbastanza lunga e riposarsi un po', non necessita durante il tempo di lavoro di pause supplementari al di là della normale pausa caffè effettuata in generale da tutti i lavoratori". Queste conclusioni sono state riprese in toto dal dott. M._______, nella sua presa di posizione del 22 luglio 2008, in cui è specificata un'incapacità lavorativa del 30% dalla visita di chiusura della Suva del 26 settembre 2007.</w:t>
      </w:r>
    </w:p>
    <w:p>
      <w:r>
        <w:rPr>
          <w:b/>
        </w:rPr>
        <w:t>E. 10.4</w:t>
      </w:r>
    </w:p>
    <w:p>
      <w:r>
        <w:t>Nell'ambito della procedura d'opposizione presso la Suva, il dott. F._______ ha dichiarato, nel suo rapporto del 1° aprile 2008, di non condividere le conclusioni del dott. E._______ riguardo alla capacità lavorativa, rilevando la necessità di eseguire una rivalutazione dell'esigibilità su base neurologica/neuropsicologica. Nel suo rapporto del 22 settembre 2008, il dott. N._______ ha espresso lo stesso parere e proposto di eseguire l'esame neurologico presso la Clinica St. Anna a Lucerna, sotto la sua direzione. Il dott. N._______ ha così esaminato il ricorrente il 28 gennaio 2009 e, nel suo rapporto del 24 marzo 2009, ha concluso, relativamente all'esigibilità, che "aus neurologischer Sicht ist dem Versicherten allein unter Berücksichtigung von unfallbedingten minimalen bis leichten neuropsychologischen Funktionsstörungen eine Tätigkeit mit nicht speziell hohen Anforderungen an die Konzentration und Aufmerksamkeit, einem regelmässigen Arbeitsablauf ohne Zeitdruck, ohne Leistungsdruck sowie ohne die Erfordernis, Paralleltätigkeiten zu erledigen, ganztags zumutbar. Repetitive Tätigkeit mit erhöhter Kraftaufwendung des linken Armes können nur begrenzt ausgeführt werden. Unter zusätzlicher Berücksichtigung der beklagten Ermüdbarkeit müssen dem Versicherten längere Pausen oder eine ausgedehnte Mittagspause von 1 bis 1.5 Stunden möglich sein. Unter Berücksichtigung der Einschränkungen ist aus neurologischer Sicht in einer angepassten Tätigkeit eine Arbeitszeit von sechs bis sieben Stunden pro Tag zumutbar". Dal canto suo, pronunciandosi da un punto di vista prettamente oftalmologico, la dott.ssa H._______ ha invece chiaramente constatato, nel suo rapporto del 20 marzo 2009, che l'attività di meccanico è sempre esigibile senza restrizioni.</w:t>
      </w:r>
    </w:p>
    <w:p>
      <w:r>
        <w:rPr>
          <w:b/>
        </w:rPr>
        <w:t>E. 10.5</w:t>
      </w:r>
    </w:p>
    <w:p>
      <w:r>
        <w:t>Visto quanto precede, il collegio giudicante non può che condividere le conclusioni unanimi di tutti gli esperti (Suva, UAIE e INPS) che si sono pronunciati in merito alla capacità lavorativa, non contraddette da altri rapporti medici all'incarto e, del resto, non contestate dal ricorrente, secondo cui la capacità lavorativa di quest'ultimo è pari al 70% in attività confacenti.</w:t>
      </w:r>
    </w:p>
    <w:p>
      <w:r>
        <w:rPr>
          <w:b/>
        </w:rPr>
        <w:t>E. 11</w:t>
      </w:r>
    </w:p>
    <w:p>
      <w:r>
        <w:t>Come già evidenziato al consid. 7.5, per valutare il grado d'invalidità, secondo l'art. 16 LPGA,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concreto, l'UAI-TI ha proceduto al calcolo del grado d'invalidità in applicazione del metodo di confronto dei redditi. Dal rapporto finale della consulente in integrazione professionale, del 22 luglio 2008 (incarto AI, doc. 24/1 a 4), si evince che l'assicurato avrebbe potuto guadagnare nel 2006, visti i dati forniti dal datore di lavoro per il 2004 e debitamente aggiornati, un salario da valido annuo in Ticino di Fr. 55'483.-, e, secondo i dati dell'UFS relativi ad attività leggere e non qualificate (tabelle TA1, categoria 4.2), adattati ad un ciclo di lavoro di 41.7 ore settimanali (tabella B9.2, La Vie Économique, 1/2-2006, pag. 94), un salario da invalido medio svizzero di Fr. 59'197.-, considerato nella misura del 70% (capacità lavorativa residua) e ridotto del 15% per tenere conto delle circostanze personali dell'assicurato, ossia Fr. 35'222.-, per cui si ottiene, secondo la formula [(55'483 - 35'222) : 55'483 x 100], una perdita di guadagno del 36.50%, corrispondente ad una grado d'invalidità del 37%.</w:t>
      </w:r>
    </w:p>
    <w:p>
      <w:r>
        <w:rPr>
          <w:b/>
        </w:rPr>
        <w:t>E. 12.1</w:t>
      </w:r>
    </w:p>
    <w:p>
      <w:r>
        <w:t>Secondo la giurisprudenza del Tribunale federale, se un assicurato, per motivi estranei alla sua invalidità, ha realizzato un reddito considerevolmente inferiore alla media nazionale svizzera per un'attività equivalente senza spontaneamente accomodarsene si procede ad un parallelismo dei due redditi di paragone. Questo parallelismo può avvenire aumentando in maniera adeguata il reddito da valido effettivamente conseguito o determinato secondo i valori statistici, oppure riducendo opportunamente il reddito statistico da invalido (DTF 134 V 322 consid. 4.1). Il Tribunale federale ha poi precisato che un reddito è inferiore alla media dei salari per un'attività equivalente allorquando il guadagno effettivamente conseguito diverge di almeno il 5% del salario statistico usuale nel settore. Pertanto, il parallelismo dei redditi di paragone va effettuato soltanto per la parte percentuale eccedente la soglia del 5% (cfr. DTF 135 V 297).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w:t>
      </w:r>
    </w:p>
    <w:p>
      <w:r>
        <w:rPr>
          <w:b/>
        </w:rPr>
        <w:t>E. 12.2</w:t>
      </w:r>
    </w:p>
    <w:p>
      <w:r>
        <w:t>In concreto, l'UAI-TI avrebbe dovuto innanzitutto aggiornare il salario da valido di Fr. 55'483.- al 2007, visto che la capacità di lavoro del ricorrente è stata fissata al 70% dal settembre 2007, aumentandolo dell'1.6% (variazione nominale rispetto al salario del 2006), conformemente alla Tabella T1.39 dell'UFS, ed ottenendo così all'incirca un reddito annuo di Fr. 56'371.-. In un secondo tempo, avendo constatato che il salario da invalido in Svizzera è superiore a quello da valido in Ticino, l'UAI-TI avrebbe dovuto riferirsi ai dati salariali svizzeri medi calcolati dall'UFS, per determinare se fosse necessario procedere ad un parallelismo dei redditi conformemente alla giurisprudenza precitata. Sulla base della Tabella TA1, categoria 3 (attività con conoscenze professionali specialistiche, nel settore del commercio e della riparazione di veicoli a motore), il salario mensile da valido in Svizzera ammontava nel 2006, su quaranta ore settimanali, a Fr. 4'989.-, ossia nel 2007, aumentato dell'1.6%, Fr. 5'068.80, e, sulla base di 41.7 ore settimanali, Fr. 5'296.90, vale a dire approssimativamente Fr. 63'563.- all'anno. Come salario da invalido, l'UAI-TI avrebbe dovuto considerare, sempre seguendo la Tabella TA1, categoria 4, Fr. 4'732.-, ossia nel 2007, aumentato dell'1.6% e calcolato sulla base di 41.7 ore settimanali, Fr. 5'012.-, corrispondenti a Fr. 60'144.- all'anno. Ora, la differenza tra il salario da valido in Ticino di Fr. 56'371.- e quello da valido medio svizzero di Fr. 63'563.-, è pari approssimativamente all'11.32%. Essa deve quindi essere qualificata di considerevole ai sensi della giurisprudenza del Tribunale federale. Tale percentuale va dedotta dal reddito da invalido, visto che non emergono dagli atti sufficienti elementi idonei e concludenti per poter considerare che il ricorrente si sia spontaneamente accontentato del reddito inferiore conseguito. Conseguentemente, l'UAI-TI avrebbe dovuto procedere al parallelismo dei redditi e ridurre dell'6.32%, ossia della differenza tra i due redditi di paragone superiore al 5%, il salario da invalido di Fr. 60'144.- (oppure aumentare della stessa percentuale quello da valido), ottenendo così un valore di Fr. 56'343.-, in ragione del 70% (capacità lavorativa residua) e diminuito ulteriormente del 15% in funzione delle circostanze personali del ricorrente e del carattere leggero delle attività confacenti non già considerati con il parallelismo dei redditi, ossia approssimativamente Fr. 33'524.-. Confrontando il salario da valido con quello da invalido per il 2007, si ricava una perdita di guadagno del 40.53% [(56'371 - 33'524) / 56'371 x 100], corrispondente ad un grado d'invalidità del 41%, il quale dà diritto al ricorrente all'ottenimento di un quarto di rendita d'invalidità svizzera.</w:t>
      </w:r>
    </w:p>
    <w:p>
      <w:r>
        <w:rPr>
          <w:b/>
        </w:rPr>
        <w:t>E. 12.3</w:t>
      </w:r>
    </w:p>
    <w:p>
      <w:r>
        <w:t>Per il resto, l'affermazione del ricorrente secondo cui l'UAI-TI avrebbe considerato il salario da invalido nella misura del 100% e non del 70%, non trova nessun riscontro agli atti, come si evince dal rapporto della consulente in integrazione professionale, del 22 luglio 2008. Inoltre, la riduzione del 15% del salario da invalido operata dall'UAI-TI, appare giudiziosa e non si presta perciò a critica, considerato in particolare che l'amministrazione non è vincolata alla valutazione della Suva (DTF 133 V 549) e che basta che motivi la sua scelta succintamente (DTF 126 V 76). A questo proposito, i criteri menzionati dal ricorrente per operare una tale riduzione, ossia il periodo d'inattività, le possibili difficoltà d'adattamento e l'età professionale, si rispecchiano adeguatamente, a parere del collegio giudicante, nel valore applicato dall'UAI-TI. Quanto al calcolo del grado d'invalidità proposto dal ricorrente, per i motivi appena esposti, non può essere seguito.</w:t>
      </w:r>
    </w:p>
    <w:p>
      <w:r>
        <w:rPr>
          <w:b/>
        </w:rPr>
        <w:t>E. 12.4</w:t>
      </w:r>
    </w:p>
    <w:p>
      <w:r>
        <w:t>Visto quanto precede, il ricorrente ha diritto ad un quarto di rendita d'invalidità svizzera a decorrere dal 1° gennaio 2008.</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14</w:t>
      </w:r>
    </w:p>
    <w:p>
      <w:r>
        <w:t>Di conseguenza, il ricorso deve essere parzialmente accolto e la decisione impugnata riformata, nel senso che al ricorrente è riconosciuto il diritto ad un quarto di rendita d'invalidità svizzera con effetto dal 1° gennaio 2008.</w:t>
      </w:r>
    </w:p>
    <w:p>
      <w:r>
        <w:rPr>
          <w:b/>
        </w:rPr>
        <w:t>E. 15</w:t>
      </w:r>
    </w:p>
    <w:p>
      <w:r>
        <w:t>Secondo l'art. 63 cpv. 1 PA, le spese processuali sono di regola messe a carico della parte soccombente. In concreto, visto l'esito della procedura, non si riscuotono spese processuali e l'anticipo di Fr. 300.-, versato il 10 febbraio 2010, è restituito al ricorrente. Conformemente all'art. 64 cpv. 1 PA, l'autorità di ricorso, se ammette il ricorso in tutto o in parte, può assegnare al ricorrente una indennità per le spese indispensabili e relativamente elevate che ha sopportato (spese ripetibili). In concreto, considerato che il ricorrente ha agito per il tramite di un rappresentante professionale, è giustificato assegnarli un'indennità per spese ripetibili di Fr. 1'200.- (art. 7 e segg.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