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C-5804/2007 vom 4. Dezember 2009</w:t>
      </w:r>
    </w:p>
    <w:p>
      <w:r>
        <w:t>Bundesverwaltungsgericht, 2009-12-04, DE</w:t>
      </w:r>
    </w:p>
    <w:p>
      <w:r>
        <w:rPr>
          <w:b/>
        </w:rPr>
        <w:t xml:space="preserve">Quelle: </w:t>
      </w:r>
      <w:r>
        <w:t>https://mcp.opencaselaw.ch/entscheid/bvger_C-5804_2007</w:t>
      </w:r>
    </w:p>
    <w:p>
      <w:r>
        <w:t>FR: TAF C-5804/2007 du 4 décembre 2009</w:t>
      </w:r>
    </w:p>
    <w:p>
      <w:r>
        <w:t>IT: TAF C-5804/2007 del 4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der in Art. 33 VGG aufgeführten Behörden erlassen wurden. Darunter fallen u.a. auch Verfügungen des BFM betreffend Einreisesperre,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Adressat der Verfügung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Mit Inkraftreten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abzustellen.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der Natur nach eine präventivpolizeiliche Administrativmassnahme. Sie will der Gefahr künftiger Störungen der öffentlichen Ordnung und Sicherheit sowie anderer unter den Schutz des Ausländerrechts fallender Polizeigüter begegnen, die von Ausländerinnen und Ausländern ausgehen können. Ob eine solche Gefahr besteht, lässt sich erfahrungsgemäss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(vgl. BVGE 2008/24 E. 4.2 mit Hinweisen). Der Tatbestand der Unerwünschtheit wird typischerweise durch die Straffälligkeit einer ausländischen Person gesetzt.</w:t>
      </w:r>
    </w:p>
    <w:p>
      <w:r>
        <w:rPr>
          <w:b/>
        </w:rPr>
        <w:t>E. 5.1</w:t>
      </w:r>
    </w:p>
    <w:p>
      <w:r>
        <w:t>Der Beschwerdeführer wurde für das ihm von der Vorinstanz vorgeworfene Verhalten (Widerhandlung gegen das Betäubungsmittelgesetz, Gewalt und Drohung gegen Beamte, Sachbeschädigung) strafrechtlich zur Verantwortung gezogen. Hinzu kamen noch Verleumdung und Beschimpfung (vgl. Strafbefehl des Bezirksstatthalteramts Liestal vom 12. März 2008). Der Strafbefehl wurde nicht angefochten und erwuchs in Rechtskraft. Somit gilt als erstellt, dass er nicht nur in Bezug auf den von ihm unbestrittenen Sachverhalt (Sachbeschädigung und Widerhandlung gegen das Betäubungsmittelgesetz), sondern auch durch Gewalt und Drohung gegen Beamte (u.a. Spucken und Androhung von Schlägen) sowie Beschimpfung und falsche Anschuldigung bzw. Verleumdung (Behauptungen, von den Beamten geschlagen bzw. misshandelt worden zu sein) gegen die öffentliche Ordnung und Sicherheit verstossen hat. Bei der vom Beschwerdeführer im vorliegenden Verfahren geschilderten Version des Sachverhalts - insbesondere bei den von ihm gegenüber den Polizei- und Untersuchungsbeamten erhobenen Vorwürfen - handelt es sich um eine reine Schutzbehauptung, ansonsten er diese Beamten angezeigt und den Strafbefehl angefochten hätte.</w:t>
      </w:r>
    </w:p>
    <w:p>
      <w:r>
        <w:rPr>
          <w:b/>
        </w:rPr>
        <w:t>E. 5.2</w:t>
      </w:r>
    </w:p>
    <w:p>
      <w:r>
        <w:t>Es ist daher nicht zu beanstanden, wenn die Vorinstanz in der angefochtenen Verfügung zum Schluss gekommen ist, dass der Beschwerdeführer aufgrund seines Verhaltens als unerwünschter Ausländer im Sinne von Art. 13 Abs. 1 Satz 1 ANAG zu betrachten sei.</w:t>
      </w:r>
    </w:p>
    <w:p>
      <w:r>
        <w:rPr>
          <w:b/>
        </w:rPr>
        <w:t>E. 6</w:t>
      </w:r>
    </w:p>
    <w:p>
      <w:r>
        <w:t>Es bleibt somit zu prüfen, ob die Massnahme in richtiger Ausübung des Ermessens ergangen und angemessen ist. Der Grundsatz der Verhältnismässigkeit steht dabei im Vordergrund. Unter diesem Gesichtspunkt ist die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6.1</w:t>
      </w:r>
    </w:p>
    <w:p>
      <w:r>
        <w:t>Wie bereits erwähnt, hat der Beschwerdeführer durch sein Verhalten zu Klagen Anlass gegeben. Ein gewichtiges Interesse an der Fernhaltung des Beschwerdeführers ergibt sich deshalb ohne weiteres aus seiner Qualifizierung als unerwünschte Person. Allein die Sachbeschädigung sowie die gegenüber Beamten ausgeübte Gewalt und Drohung vermitteln das Bild einer Geringschätzung hiesiger Konventionen und Gesetzesnormen. Hinzu kommt, dass er sich auch nicht durch sein früheres deliktisches Verhalten (u.a. gewerbs- und bandenmässig verübte Diebstähle) von erneuten Straftaten abhalten liess. Sowohl aus Gründen der Spezial- als auch der Generalprävention bestehen demnach gewichtige öffentliche Interessen an einer weiteren Fernhaltung des Beschwerdeführers.</w:t>
      </w:r>
    </w:p>
    <w:p>
      <w:r>
        <w:rPr>
          <w:b/>
        </w:rPr>
        <w:t>E. 6.2</w:t>
      </w:r>
    </w:p>
    <w:p>
      <w:r>
        <w:t>Bezüglich eines persönlichen Interesses an ungehinderten Einreisen verweist der Beschwerdeführer auf familiäre Bindungen zur Schweiz (Eltern und Geschwister). Dieses Interesse ist insoweit zu relativieren, als dass familiäre Kontakte auch auf andere Weise als durch Besuche - beispielsweise auf schriftlichem und telefonischem Weg oder auch durch das Internet - gepflegt werden können. Zudem bestehen die Wirkungen der Einreisesperre nicht darin, dass dem Beschwerdeführer während deren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67 Abs. 4 AuG). Die Suspension wird aber praxisgemäss nur für eine kurze und klar begrenzte Zeit gewährt (vgl. Urteil des Bundesverwaltungsgerichts C-8229/2008 vom 8. Juli 2009 E. 6.4 mit weiteren Hinweisen). Weitere persönliche Interessen an ungehinderten Einreisen bringt der Beschwerdeführer nicht vor und ergeben sich auch nicht aus den Akten.</w:t>
      </w:r>
    </w:p>
    <w:p>
      <w:r>
        <w:rPr>
          <w:b/>
        </w:rPr>
        <w:t>E. 6.3</w:t>
      </w:r>
    </w:p>
    <w:p>
      <w:r>
        <w:t>Eine wertende Gewichtung der sich entgegenstehenden Interessen führt das Bundesverwaltungsgericht zum Schluss, dass die auf fünf Jahre befristete Einreisesperre - unter Einbezug seines früheren deliktischen Verhaltens und der bereits im Jahre 2000 verhängten Fernhaltemassnahme von drei Jahren - eine verhältnismässige und angemessene Massnahme zum Schutz der öffentlichen Sicherheit und Ordnung darstellt.</w:t>
      </w:r>
    </w:p>
    <w:p>
      <w:r>
        <w:rPr>
          <w:b/>
        </w:rPr>
        <w:t>E. 7</w:t>
      </w:r>
    </w:p>
    <w:p>
      <w:r>
        <w:t>Aus diesen Erwägungen ergibt sich, dass die angefochtene Verfügung im Lichte von Art. 49 VwVG rechtmässig ist. Die Beschwerde ist daher abzuweisen.</w:t>
      </w:r>
    </w:p>
    <w:p>
      <w:r>
        <w:rPr>
          <w:b/>
        </w:rPr>
        <w:t>E. 8</w:t>
      </w:r>
    </w:p>
    <w:p>
      <w:r>
        <w:t>Entsprechend dem Ausgang des Verfahrens sind dem Beschwerdeführer die Kosten aufzuerlegen (Art. 63 Abs. 1 VwVG). Diese sind auf Fr. 600.-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