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C-57/2011 vom 8. April 2013</w:t>
      </w:r>
    </w:p>
    <w:p>
      <w:r>
        <w:t>Bundesverwaltungsgericht, 2013-04-08, DE</w:t>
      </w:r>
    </w:p>
    <w:p>
      <w:r>
        <w:rPr>
          <w:b/>
        </w:rPr>
        <w:t xml:space="preserve">Quelle: </w:t>
      </w:r>
      <w:r>
        <w:t>https://mcp.opencaselaw.ch/entscheid/bvger_C-57_2011</w:t>
      </w:r>
    </w:p>
    <w:p>
      <w:r>
        <w:t>FR: TAF C-57/2011 du 8 avril 2013</w:t>
      </w:r>
    </w:p>
    <w:p>
      <w:r>
        <w:t>IT: TAF C-57/2011 del 8 aprile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Der Beschwerdeführer bringt vor, es sei aus der Verfügung nicht ersichtlich, ob die geforderte Verhältnismässigkeitsprüfung vorgenommen worden sei. Er erhebt damit implizit die Rüge, die Begründungspflicht und damit sein Anspruch auf rechtliches Gehör sei verletzt worden (vgl. Art. 29 Abs. 2 der Bundesverfassung der Schweizerischen Eidgenossenschaft vom 18. April 1999 [BV, SR 101] sowie Art. 29 ff. VwVG).</w:t>
      </w:r>
    </w:p>
    <w:p>
      <w:r>
        <w:rPr>
          <w:b/>
        </w:rPr>
        <w:t>E. 3.2</w:t>
      </w:r>
    </w:p>
    <w:p>
      <w:r>
        <w:t>Der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(vgl. Art. 29 ff. VwVG; Bernhard Waldmann/Jürg Bickel, in: Waldmann/Weissen­berger [Hrsg.], Praxiskommentar VwVG, Zürich 2009, Art. 32 N 7 ff.). Daraus folgt die Pflicht der Behörden, ihren Entscheid zu begründen (Art. 35 VwVG). Die Begründungspflicht soll verhindern, dass die Behörden sich von unsachlichen Motiven leiten lassen, und dem Betroffenen ermöglichen, den Entscheid sachgerecht anzufechten. Die Behörde hat die wesentlichen Überlegungen zu nennen, von denen sie sich leiten liess. Die Anforderungen an die Begründung sind umso höher, je weiter der Entscheidungsspielraum und je komplexer die Sach- und Rechtslage ist (vgl. BGE 137 II 266 E. 3.2; BGE 133 I 270 E. 3.1; BVGE 2009/35 E. 2.2.1; BVGE 2007/27 E. 5.5.2; Lorenz Kneubühler, Die Begründungspflicht, Bern 1998, S. 22 ff.; René Wiederkehr, Die Begründungspflicht nach Art. 29 Abs. 2 BV und die Heilung bei Verletzung, ZBl 9/2010 S. 484 ff.).</w:t>
      </w:r>
    </w:p>
    <w:p>
      <w:r>
        <w:rPr>
          <w:b/>
        </w:rPr>
        <w:t>E. 3.3</w:t>
      </w:r>
    </w:p>
    <w:p>
      <w:r>
        <w:t>Die Begründung der angefochtenen Verfügung ist knapp ausgefallen (vgl. Sachverhalt Bst. C). Die erstinstanzlich entscheidende Behörde muss gestützt auf den Effizienzgrundsatz speditiv entscheiden, weshalb von ihr nicht allzu einlässliche Begründungen erwartet werden dürfen (vgl. Kneubühler, a.a.O., S. 179). Dennoch muss aus der Begründung eines Einreiseverbots grundsätzlich namentlich auch hervorgehen, dass eine Interessenabwägung zwischen dem öffentlichen Interesse an der Fernhaltemassnahme einerseits und den geltend gemachten privaten Interessen andererseits vorgenommen wurde. Dies ist vorliegend nicht der Fall. Der Beschwerdeführer hat indes anlässlich der vorgängigen Anhörung keinerlei private Interessen geltend gemacht, sondern die Verhängung eines Einreiseverbots sogar befürwortet (vgl. Sachverhalt Bst. A). Die angefochtene Verfügung ist deshalb zwar knapp, aber hinreichend begründet, zumal der Beschwerdeführer das Einreiseverbot sachgerecht anfechten konnte. Der fehlende ausdrückliche Hinweis in der Begründung des Einreiseverbots auf die Verhältnismässigkeitsprüfung ist sodann für sich alleine kein Anlass anzunehmen, die Vorinstanz habe vor ihrem Entscheid die entsprechende Prüfung nicht vorgenommen.</w:t>
      </w:r>
    </w:p>
    <w:p>
      <w:r>
        <w:rPr>
          <w:b/>
        </w:rPr>
        <w:t>E. 4.1</w:t>
      </w:r>
    </w:p>
    <w:p>
      <w:r>
        <w:t>Auf den 1. Januar 2011 trat als Folge der Weiterentwicklung des Schengen-Besitzstandes eine neue Fassung von Art. 67 des Bundesgesetzes vom 16. Dezember 2005 über die Ausländerinnen und Ausländer (AuG, SR 142.20) in Kraft (zum Ganzen vgl. BBl 2009 8881 und AS 2010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Behörde aus humanitären oder anderen wichtigen Gründen von der Verhängung eines Einreiseverbots absehen oder ein Einreiseverbot vollständig oder vorüber­gehend aufheben (Art. 67 Abs. 5 AuG).</w:t>
      </w:r>
    </w:p>
    <w:p>
      <w:r>
        <w:rPr>
          <w:b/>
        </w:rPr>
        <w:t>E. 4.2</w:t>
      </w:r>
    </w:p>
    <w:p>
      <w:r>
        <w:t>Die Vorinstanz stützte das Einreiseverbot auf die Art. 67 Abs. 1 Bst. a, Bst. c und Bst. d AuG in der Fassung vom 1. Januar 2008 (AS 2007 5457). Die zuvor in Art. 67 Abs. 1 Bst. a AuG geregelte Fernhaltung wegen Gefährdung oder Verletzung der öffentlichen Sicherheit und Ordnung wurde unverändert in Abs. 2 Bst. a der neuen Fassung des Art. 67 AuG übernommen. Der neue Art. 67 Abs. 2 Bst. c AuG betreffend den Fernhaltegrund der Ausschaffungshaft ist mit dem alten Art. 67 Abs. 1 Bst. d AuG weitgehend identisch. In Bezug auf diese beiden Fernhaltegründe kann somit vorbehaltlos auf das neue Recht abgestellt werden. Art. 67 Abs. 1 Bst. c AuG, nach dem ein Einreiseverbot gegenüber einer Person verhängt werden konnte, welche ausgeschafft worden war, wurde im Zuge der Gesetzesrevision hingegen gestrichen. Dies geschah mit der Begründung, es müsse fortan gestützt auf den neuen Art. 67 Abs. 1 AuG "in diesen Fällen grundsätzlich immer ein Einreiseverbot verhängt werden (BBl 2009 8896 ad Art. 67 Abs. 2 in fine). Der neue Art. 67 Abs. 1 Bst. a AuG ist demnach anwendbar, wobei aufgrund des Rückwirkungsverbots die erst nach Erlass der angefochtenen Verfügung ins Gesetz aufgenommene starke Einschränkung des Entschliessungsermessens nicht vorgenommen werden darf (vgl. BBl 2009 8896 ad Art. 67 Abs. 1 AuG).</w:t>
      </w:r>
    </w:p>
    <w:p>
      <w:r>
        <w:rPr>
          <w:b/>
        </w:rPr>
        <w:t>E. 4.3</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Bundesverwaltungs­gerichts C 820/2009 vom 9. März 2011 E. 5.2 mit Hinweisen).</w:t>
      </w:r>
    </w:p>
    <w:p>
      <w:r>
        <w:rPr>
          <w:b/>
        </w:rPr>
        <w:t>E. 5.1</w:t>
      </w:r>
    </w:p>
    <w:p>
      <w:r>
        <w:t>Die Vorinstanz stützt das Einreiseverbot primär auf Art. 67 Abs. 2 Bst. a AuG (Art. 67 Abs. 1 Bst. a AuG in der Fassung vom 1. Januar 2008). Der Beschwerde­führer habe wegen mehrfach begangenen Diebstahls gegen die öffentliche Sicherheit und Ordnung verstossen bzw. diese gefährdet. Dass der Beschwerdeführer während seiner Anwesenheit in der Schweiz mehrfach straffällig geworden ist, geht aus den Akten klar hervor. Er trat wiederholt wegen Trickbetrügereien strafrechtlich in Erscheinung und wurde aus diesem Grund mehrmals verurteilt (vgl. Sachverhalt Bst. A). Damit ist klar erstellt, dass er durch seine Straftaten wiederholt gegen die öffentliche Sicherheit und Ordnung im Sinne von Art. 67 Abs. 2 Bst. a AuG i.V.m. Art. 80 Abs. 1 VZAE verstossen hat. Der Vollständigkeit halber ist darauf hinzuweisen, dass der Beschwerdeführer jeweils nicht - wie die Vorinstanz in der Begründung des Einreiseverbots festhielt - wegen Diebstahls, sondern wegen auf geringfügige Vermögenswerte gerichteten Betrugs verurteilt wurde (vgl. Art. 172ter i.V.m. Art. 146 des Schweizerischen Strafgesetzbuchs vom 21. Dezember 1937 [StGB, SR 311.0]).</w:t>
      </w:r>
    </w:p>
    <w:p>
      <w:r>
        <w:rPr>
          <w:b/>
        </w:rPr>
        <w:t>E. 5.2</w:t>
      </w:r>
    </w:p>
    <w:p>
      <w:r>
        <w:t>Der Beschwerdeführer wurde am 25. November 2010 in Ausschaffungshaft genommen und in der Folge am 28. November 2010 nach Zagreb ausgeschafft. Damit liegen weitere Gründe für die Verhängung einer Fernhaltemassnahme vor (vgl. Art. 67 Abs. 1 Bst. c und Bst. d in der Fassung vom 1. Januar 2008 bzw. Art. 67 Abs. 1 Bst. a und Abs. 2 Bst. c in der Fassung vom 1. Januar 2011).</w:t>
      </w:r>
    </w:p>
    <w:p>
      <w:r>
        <w:rPr>
          <w:b/>
        </w:rPr>
        <w:t>E. 5.3</w:t>
      </w:r>
    </w:p>
    <w:p>
      <w:r>
        <w:t>Der Beschwerdeführer bestreitet grundsätzlich nicht, dass er Vermögensdelikte begangen hat, und rügt vordringlich eine Verletzung des Verhältnismässigkeitsprinzips (s. dazu hinten, E. 7). Die Rüge, die angefochtene Verfügung verletze das Rückwirkungsverbot, ist unbegründet, zumal Einreiseverbote entgegen den Ausführungen des Beschwerdeführers auch zu den Tatzeitpunkten ausgesprochen werden konnten. Weshalb das Einreiseverbot sodann willkürlich sein sollte, wird nicht substantiiert dargelegt. Diese Behauptung ist angesichts der wiederholten Straffälligkeit des Beschwerdeführers auch klarerweise unzutreffend. Insoweit sich der Beschwerdeführer auf die Bewegungsfreiheit und das Recht auf Berufsausübung beruft, so sind die diesbezüglichen Einwendungen bei der Prüfung der Verhältnismässigkeit zu berücksichtigen (s. hinten, E. 7).</w:t>
      </w:r>
    </w:p>
    <w:p>
      <w:r>
        <w:rPr>
          <w:b/>
        </w:rPr>
        <w:t>E. 5.4</w:t>
      </w:r>
    </w:p>
    <w:p>
      <w:r>
        <w:t>Dass das Verhalten des Beschwerdeführers nicht in jedem Falle strafrechtliche Verurteilungen zur Folge hatte (vgl. beispielsweise die Nichtanhand­nahme­verfügung des Untersuchungsamts N._______ vom 11. Januar 2011, SG act. 49 f.), ist vorliegend nicht von Belang. Das Einreiseverbot knüpft nicht an die Erfüllung einer Strafnorm, sondern an das Vorliegen einer Polizeigefahr an. Ob eine solche besteht und wie sie zu gewichten ist, hat die Behörde in eigener Kompetenz unter Zugrundelegung spezifisch ausländerrechtlicher Kriterien zu beurteilen. Die verfügende Behörde ist deshalb in der Regel auch nicht gehalten, den rechtskräftigen Abschluss eines Strafverfahrens abzuwarten (vgl. Urteil des Bundesverwaltungsgerichts C 7510/2010 vom 20. November 2012 E. 5.2).</w:t>
      </w:r>
    </w:p>
    <w:p>
      <w:r>
        <w:rPr>
          <w:b/>
        </w:rPr>
        <w:t>E. 5.5</w:t>
      </w:r>
    </w:p>
    <w:p>
      <w:r>
        <w:t>Der Beschwerdeführer hat somit durch die begangenen und versuchten Vermögensdelikte, welche die Anordnung der Ausschaffungshaft und letztlich die Ausschaffung nach Kroatien zur Folge hatten, hinreichenden Anlass für die Verhängung eines Einreiseverbots gegeben.</w:t>
      </w:r>
    </w:p>
    <w:p>
      <w:r>
        <w:rPr>
          <w:b/>
        </w:rPr>
        <w:t>E. 6.1</w:t>
      </w:r>
    </w:p>
    <w:p>
      <w:r>
        <w:t>Wird gegen eine Person, die nicht das Bürgerrecht eines Mitglied­staates der Europäischen Union besitzt, ein Ein­reiseverbot verhängt, so wird diese in der Regel im Schengener Informationssystem (SIS) zur Einreiseverweigerung ausgeschrieben (vgl. Art. 94 Abs. 1 und Art. 96 des Schengener Durchführungsübereinkommens [SDÜ, Abl. L 239 vom 22. September 2000, S. 19-62] sowie Art. 16 Abs. 2 und 4 des Bundesgesetzes vom 13. Juni 2008 über die polizeilichen Informationssysteme des Bundes [BPI, SR 361]). Diese Ausschreibung bewirkt grundsätzlich, dass der Person die Einreise in das Hoheitsgebiet der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6.2</w:t>
      </w:r>
    </w:p>
    <w:p>
      <w:r>
        <w:t>Der EU-Beitritt Kroatiens ist für den 1. Juli 2013 vorgesehen. Der Beschwerdeführer ist mithin (noch) nicht Bürger eines Mitgliedstaates der Europäischen Union. Aufgrund der Ausschreibung im SIS ist ihm untersagt, den Schengen-Raum zu betreten. Der darin liegende Eingriff wird durch die Bedeutung des Falles gerechtfertigt (vgl. Art. 96 Abs. 2 f. SDÜ sowie hinten E. 7). Dies gilt umso mehr, als die Schweiz die Interessen der Gesamtheit aller Schengen-Staaten zu wahren hat (vgl. BVGE 2011/48 E. 6.1). Die Ausschreibung eines Einreiseverbots im SIS wird periodisch überprüft (Art. 112 Abs. 1 SDÜ) und hindert einen Schengen-Staat nicht daran, dem Betroffenen die Einreise in das eigene Hoheitsgebiet aus humanitären Gründen, Gründen des nationalen Interesses oder aufgrund völkerrechtlicher Verpflichtungen zu gestatten (vgl. Art. 5 Abs. 4 Bst. d SGK sowie für die Schweiz Art. 67 Abs. 5 AuG). Die Voraussetzungen für die Ausschreibung des Einreiseverbots waren demnach erfüllt.</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7.2</w:t>
      </w:r>
    </w:p>
    <w:p>
      <w:r>
        <w:t>Angesichts der über Jahre festgestellten, wiederholten Delinquenz des Beschwerdeführers in der Schweiz besteht an dessen Fernhaltung ein erhebliches öffentliches Interesse. Wohl können ihm nur solche Vermögensdelikte vorgehalten werden, die im Einzelfall zufolge der geringen Deliktsbeträge jeweils als geringfügige Vermögensdelikte gemäss Art. 172ter StGB zu qualifizieren sind. In ihrer Gesamtheit wiegen diese Delikte jedoch schwer. Die gesamten Umstände lassen den Beschwerdeführer als versierten Trickbetrüger und als unbelehrbaren Gewohnheitstäter erscheinen, weshalb auf eine erhebliche Gefährdung der öffentlichen Sicherheit und Ordnung zu schliessen ist. Der Beschwerdeführer hat offensichtlich aus den älteren Verurteilungen keine Lehren gezogen und wurde in den Jahren 2009 und 2010 in der Schweiz wiederholt rückfällig (vgl. Sachverhalt Bst. A). Die aktenkundigen Verurteilungen sowie namentlich auch verschiedene Polizeirapporte zeigen auf, dass der Beschwerdeführer seine Trickbetrügereien nicht nur gelegentlich, sondern gewohnheitsmässig - und allenfalls auch gewerbsmässig, was aber offen bleiben kann - ausübte (vgl. beispielsweise den Bericht der Kantonspolizei Bern vom 24. November 2010). Das Einreiseverbot hat somit in erster Linie spezialpräventiven Charakter, um weiteren Delikten des Beschwerdeführers in der Schweiz entgegenzuwirken. Die Vorinstanz war demnach berechtigt, zur Abwendung künftiger Störungen ein Einreiseverbot zu verhängen.</w:t>
      </w:r>
    </w:p>
    <w:p>
      <w:r>
        <w:rPr>
          <w:b/>
        </w:rPr>
        <w:t>E. 7.3</w:t>
      </w:r>
    </w:p>
    <w:p>
      <w:r>
        <w:t>Der Beschwerdeführer bringt als persönliches Interesse vor, er sei Betriebsratsvorsitzender der X._______ AG und müsse deshalb mehrmals jährlich an Weiterbildungskursen in der Europäischen Union teilnehmen. Das Einreiseverbot schränke seine Bewegungsfreiheit und sein Recht auf Berufsausübung unangemessen ein. Wohl belegt der Beschwerdeführer, dass er als Betriebsratsvorsitzender der X._______ AG mehrmals jährlich an Fachseminaren teilnehmen muss, welche die "Kroatische autonome Gewerkschaft Energiewirtschaft, Chemie und Nichtmetalle in Kroatien und im Ausland veranstaltet. Dieses persönliche Interesse rechtfertigt es indessen nicht, von einem Einreiseverbot abzusehen. Der Beschwerdeführer hat die damit einhergehenden Einschränkungen hinzunehmen, zumal das dargelegte öffentliche Interesse erheblich ins Gewicht fällt. Im Übrigen arbeitet der Beschwerdeführer gemäss Bestätigung des Arbeitgebers vom 7. Dezember 2010 als Schichtleiter und übt zudem die Funktion des Betriebsratsvorsitzenden aus. Dass der Beschwerdeführer seine Stelle als Schichtleiter verlieren würde, wenn er als Folge des Einreiseverbots seine gewerkschaftliche Funktion abgeben müsste, wird nicht behauptet und ist nicht anzunehmen. Inwiefern sodann wie vom Beschwerdeführer behauptet die Öffentlichkeit ein Interesse an seinen Reisen haben sollte, wird nicht substantiiert dargelegt. Die Funktion des Betriebsratsvorsitzenden könnte zweifellos von einer anderen Person ausgeübt werden, deren Reisetätigkeit nicht zu einer Gefährdung der öffentlichen Sicherheit und Ordnung führen würde. Im Übrigen legt der Beschwerdeführer nicht dar, weshalb er sich in den Jahren 2009 und 2010 in der Schweiz aufhielt; dass er hier Fortbildungskurse über die Gesetzgebung in der Europäischen Union besuchte, ist unwahrscheinlich. Im öffentlichen Interesse liegt nicht die Reisetätigkeit des Beschwerdeführers, sondern im Gegenteil das von der Vorinstanz ausgesprochene Einreiseverbot. Diese Massnahme liegt letztlich auch im eigenen Interesse des Beschwerdeführers, worauf dieser anlässlich der vorgängigen Anhörung noch zutreffend selber hingewiesen hat (vgl. Sachverhalt Bst. A). Sodann hat bereits die Vorinstanz im Rahmen ihrer Vernehmlassung darauf hingewiesen, dass es trotz SIS-Ausschreibung jedem Schengen-Staat freisteht, dem Beschwerdeführer auf begründetes Gesuch hin aus wichtigen Gründen eine Einreisebewilligung zu erteilen (vgl. Art. 5 Abs. 4 Bst. d SGK sowie Art. 67 Abs. 5 AuG).</w:t>
      </w:r>
    </w:p>
    <w:p>
      <w:r>
        <w:rPr>
          <w:b/>
        </w:rPr>
        <w:t>E. 7.4</w:t>
      </w:r>
    </w:p>
    <w:p>
      <w:r>
        <w:t>Eine wertende Gewichtung der sich entgegenstehenden Interessen führt nach dem Gesagten zum Ergebnis, dass das auf fünf Jahre befristete Einreiseverbot sowohl vom Grundsatz her als auch in Bezug auf seine Dauer eine verhältnismässige und angemessene Massnahme zum Schutz der öffentlichen Sicherheit und Ordnung darstellt.</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