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C-579/2014 vom 11. April 2017</w:t>
      </w:r>
    </w:p>
    <w:p>
      <w:r>
        <w:t>Bundesverwaltungsgericht, 2017-04-11, FR</w:t>
      </w:r>
    </w:p>
    <w:p>
      <w:r>
        <w:rPr>
          <w:b/>
        </w:rPr>
        <w:t xml:space="preserve">Quelle: </w:t>
      </w:r>
      <w:r>
        <w:t>https://mcp.opencaselaw.ch/entscheid/bvger_C-579_2014</w:t>
      </w:r>
    </w:p>
    <w:p>
      <w:r>
        <w:t>FR: TAF C-579/2014 du 11 avril 2017</w:t>
      </w:r>
    </w:p>
    <w:p>
      <w:r>
        <w:t>IT: TAF C-579/2014 del 11 aprile 2017</w:t>
      </w:r>
    </w:p>
    <w:p>
      <w:pPr>
        <w:pStyle w:val="Heading2"/>
      </w:pPr>
      <w:r>
        <w:t>Regeste</w:t>
      </w:r>
    </w:p>
    <w:p>
      <w:r>
        <w:t>Rentes</w:t>
      </w:r>
    </w:p>
    <w:p>
      <w:pPr>
        <w:pStyle w:val="Heading2"/>
      </w:pPr>
      <w:r>
        <w:t>Erwägungen</w:t>
      </w:r>
    </w:p>
    <w:p>
      <w:r>
        <w:rPr>
          <w:b/>
        </w:rPr>
        <w:t>E. 1.1</w:t>
      </w:r>
    </w:p>
    <w:p>
      <w:r>
        <w:t>Selon l'art. 37 de la loi fédérale du 17 juin 2005 sur le Tribunal administratif fédéral (LTAF, RS 173.32), la procédure devant le Tribunal administratif fédéral est régie par la loi fédérale du 20 décembre 1968 sur la procédure administrative (PA, RS 172.021) pour autant que la LTAF n'en dispose autrement. Conformément à l'art. 3 let. dbis PA, la procédure en matière d'assurance sociale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pas à la LPGA.</w:t>
      </w:r>
    </w:p>
    <w:p>
      <w:r>
        <w:rPr>
          <w:b/>
        </w:rPr>
        <w:t>E. 1.2</w:t>
      </w:r>
    </w:p>
    <w:p>
      <w:r>
        <w:t>Sous réserve des exceptions, non réalisées en l'espèce,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 Il convient encore de préciser que l'office AI du secteur d'activité dans lequel le frontalier exerce une activité lucrative est compétent pour enregistrer et examiner les demandes présentées par les frontaliers. L'OAIE notifie les décisions (l'art. 40 al. 2 du règlement du 17 janvier 1961 sur l'assurance-invalidité [RAI, RS 831.201]).</w:t>
      </w:r>
    </w:p>
    <w:p>
      <w:r>
        <w:rPr>
          <w:b/>
        </w:rPr>
        <w:t>E. 1.3</w:t>
      </w:r>
    </w:p>
    <w:p>
      <w:r>
        <w:t>En l'occurrence, interjeté en temps utile (art. 50 LPGA), dans les formes légales (art. 52 ss LPGA) auprès de l'autorité judiciaire compétente (art. 33 let. d LTAF et art. 69 al. 1 lit. b LAI), par une administrée directement touchée par la décision attaquée (art. 48 LPGA), qui s'est acquittée de l'avance de frais dans les temps (art. 63 al. 4 PA et art. 20 ss PA), le recours du 3 février 2014 est recevable, quant à la forme. Compte tenu du fait que la recourante a son domicile en France voisine (AI pce 12, p. 1) et travaillait en Suisse (AI pce 34), elle doit être qualifiée de frontalière si bien que c'est à bon droit que la procédure d'instruction de la demande de prestations de l'assurance-invalidité a été menée par l'OAI-GE et la décision de refus notifiée par l'OAIE (cf. AI pce 182).</w:t>
      </w:r>
    </w:p>
    <w:p>
      <w:r>
        <w:rPr>
          <w:b/>
        </w:rPr>
        <w:t>E. 2.1</w:t>
      </w:r>
    </w:p>
    <w:p>
      <w:r>
        <w:t>Le droit matériel applicable est déterminé par les règles en vigueur au moment où les faits juridiquement déterminants ou ayant des conséquences juridiques se sont produits, le juge n'ayant pas à prendre en considération les modifications du droit ou de l'état de fait postérieures à la date déterminante de la décision attaquée (ATF 140 V 70, consid. 4.2 ; ATF 136 V 24, consid. 4.3 ; ATF 130 V 355, consid. 1.2 ; ATF 129 V 4, consid. 1.2).</w:t>
      </w:r>
    </w:p>
    <w:p>
      <w:r>
        <w:rPr>
          <w:b/>
        </w:rPr>
        <w:t>E. 2.2</w:t>
      </w:r>
    </w:p>
    <w:p>
      <w:r>
        <w:t>S'agissant du droit international, l'accord entre la Confédération suisse d'une part, et la Communauté européenne et ses Etats membres, d'autre part, sur la libre circulation des personnes du 21 juin 1999 (ALCP, RS 0.142.112.681) est entré en vigueur le 1er juin 2002 avec notamment son annexe II réglant la coordination des systèmes de sécurité sociale par renvoi au droit européen. Dans ce contexte, l'ALCP fait référence depuis le 1er avril 2012 au règlement (CE) n°883/2004 du Parlement européen et du Conseil du 29 avril 2004 portant sur la coordination des systèmes de sécurité sociale (RS 0.831.109.268.1) ainsi qu'au règlement (CE) n°987/2009 du Parlement européen et du Conseil du 16 septembre 2009 fixant les modalités des systèmes de sécurité sociale (RS 0.831.109.268.11; cf. arrêt du Tribunal fédéral 8C_870/2012 du 8 juillet 2012, consid. 2.2). Conformément à l'art. 4 du règlement (CE) n°883/2004, les personnes auxquelles ce règlement s'applique bénéficient en principe des mêmes prestations et son soumises aux mêmes obligations, en vertu de la législation de tout Etat membre, que les ressortissants de celui-ci. En outre, dans la mesure où l'ALCP et son annexe II ne prévoient pas de disposition contraire, la procédure ainsi que les conditions à l'octroi d'une rente d'invalidité sont déterminées exclusivement d'après le droit suisse (art. 8 ALPC, ATF 130 V 257, consid. 2.4).</w:t>
      </w:r>
    </w:p>
    <w:p>
      <w:r>
        <w:rPr>
          <w:b/>
        </w:rPr>
        <w:t>E. 2.3</w:t>
      </w:r>
    </w:p>
    <w:p>
      <w:r>
        <w:t>En l'occurrence, l'intéressée est une ressortissante suisse résidant en France, soit dans un Etat membre de l'Union européenne (AI pce 19). Ainsi, les dispositions légales de droit suisse en vigueur dans leur teneur au jour de la décision attaquée, soit au 13 décembre 2013, sont applicables. Par ailleurs, le Tribunal de céans se fondera sur l'état de fait, y compris l'état de santé de l'intéressée, au jour de la décision, soit au 13 décembre 2013. Les éléments de fait postérieurs à cette date ne devant, en principe, pas être pris en considération, sauf s'ils permettent une meilleure compréhension de l'état de santé du recourant antérieur à la décision attaquée (cf. ATF 130 V 445, consid. 1.2.1, voir notamment arrêt du Tribunal administratif fédéral C-31/2013 du 14 janvier 2014, consid. 3.1).</w:t>
      </w:r>
    </w:p>
    <w:p>
      <w:r>
        <w:rPr>
          <w:b/>
        </w:rPr>
        <w:t>E. 3.1</w:t>
      </w:r>
    </w:p>
    <w:p>
      <w:r>
        <w:t>Le Tribunal administratif fédéral établit les faits et apprécie les preuves d'office et librement (art. 12 PA). En outre, il applique le droit d'office, sans être lié par les motifs invoqués à l'appui du recours (art. 62 al. 4 PA), ni par l'argumentation développée dans la décision attaquée (Benoît Bovay, Procédure administrative, 2ème éd., 2015, p. 243 ; Jérôme Candrian, Introduction à la procédure administrative fédérale, La procédure devant les autorités administratives fédérales et le Tribunal administratif fédéral, 2013, n°176). Cependant, l'autorité saisie se limite en principe aux griefs soulevés par le recourant et n'examine les questions de droit non invoquées que dans la mesure où les arguments des parties ou le dossier l'y incite (ATF 122 V 157, consid. 1a ; ATF 121 V 204, consid. 6c ; Moser/Beusch/Kneubühler, Prozessieren vor dem Bundesverwaltungsgericht, 2ème éd., 2013, p. 25, n. 1.55).</w:t>
      </w:r>
    </w:p>
    <w:p>
      <w:r>
        <w:rPr>
          <w:b/>
        </w:rPr>
        <w:t>E. 3.2</w:t>
      </w:r>
    </w:p>
    <w:p>
      <w:r>
        <w:t>In casu, la question litigieuse est le bien-fondé de la décision du 13 décembre 2013 par laquelle l'OAIE a rejeté la demande de la recourante tendant à l'obtention de prestations de l'assurance-invalidité du 25 février 2009 (cf. AI pces 12 à 15 et 182).</w:t>
      </w:r>
    </w:p>
    <w:p>
      <w:r>
        <w:rPr>
          <w:b/>
        </w:rPr>
        <w:t>E. 4</w:t>
      </w:r>
    </w:p>
    <w:p>
      <w:r>
        <w:t>Dans son mémoire de recours, la recourante a conclu préalablement à l'octroi d'un délai pour produire des pièces médicales complémentaires (ci-après : consid. 4.1) ainsi qu'à sa comparution personnelle et à l'audition de témoins (ci-après : consid. 4.2). Dans la mesure où ces conclusions sont de nature formelles (cf. art. 29 al. 2 et 30 al. 3 de la Constitution fédérale de la Confédération suisse du 18 avril 1999 [RS 101, Cst.]), il convient de les examiner en premier lieu (parmi de nombreux arrêts, ATF 137 I 195 consid. 2.2 ; ATF 135 I 279 consid. 2.6.1 ; arrêt du Tribunal fédéral 5A_1026/2015 du 8 mars 2016, consid. 3) et successivement. Il convient encore de préciser que la conclusion tendant à la mise en place d'une expertise médicale judiciaire sera examinée avec le litige au fond (cf. consid. 10 infra).</w:t>
      </w:r>
    </w:p>
    <w:p>
      <w:r>
        <w:rPr>
          <w:b/>
        </w:rPr>
        <w:t>E. 4.1.1</w:t>
      </w:r>
    </w:p>
    <w:p>
      <w:r>
        <w:t>A teneur de l'art. 53 PA, l'autorité de recours accorde au recourant qui l'a demandé dans un recours recevable à la forme un délai convenable pour compléter les motifs, si l'étendue exceptionnelle ou la difficulté particulière de l'affaire le commande. Dans cette hypothèse, l'autorité ne peut toutefois pas prendre en considération des allégués tardifs (art. 53 al. 1 infine PA en combinaison avec l'art. 32 al. 2 a contrario PA). L'octroi ou le refus d'un délai pour déposer un mémoire complétif relève du pouvoir d'appréciation de l'autorité ; étant précisé que le dépôt d'un tel mémoire doit rester exceptionnel (Jérôme Candrian, Introduction à la procédure administrative fédéral, 2013, p. 87, N 138 ; Benoît Bovay, Procédure administrative, 2015, p. 553 et les références citées). Par ailleurs, à teneur de l'art. 57 al. 2 PA, l'autorité de recours peut, à n'importe quel stade de la procédure, inviter les parties à un échange d'écritures ultérieures.</w:t>
      </w:r>
    </w:p>
    <w:p>
      <w:r>
        <w:rPr>
          <w:b/>
        </w:rPr>
        <w:t>E. 4.1.2</w:t>
      </w:r>
    </w:p>
    <w:p>
      <w:r>
        <w:t>En l'occurrence, la recourante n'expose pas en quoi les circonstances du cas d'espèce seraient à ce point exceptionnelles ou difficiles qu'elles justifieraient l'octroi d'un délai pour compléter le recours, singulièrement les pièces produites. En tout état de cause, il convient de rappeler que par ordonnance du 1er juillet 2014 (TAF pce 8), le Tribunal administratif fédéral a imparti à la recourante un délai pour déposer une réplique « accompagnée des moyens de preuve correspondants ». Or, dans son mémoire de réplique, la recourante n'a produit aucune pièce supplémentaire (cf. TAF pce 9). Par ailleurs, suite au dépôt de la duplique par l'autorité inférieure, le Tribunal administratif fédéral a imparti à la recourant un ultime délai pour « déposer ses remarques éventuelles » (cf. TAF pce 12), ce qu'elle a décidé de ne pas faire (TAF pce 13). Partant, la conclusion prise par la recourante tendant à l'octroi d'un délai pour déposer des pièces médicales supplémentaires est rejetée.</w:t>
      </w:r>
    </w:p>
    <w:p>
      <w:r>
        <w:rPr>
          <w:b/>
        </w:rPr>
        <w:t>E. 4.2.1</w:t>
      </w:r>
    </w:p>
    <w:p>
      <w:r>
        <w:t>Aux termes de l'art. 30 al. 3 Cst., relatif aux garanties de la procédure judiciaire, l'audience et le prononcé du jugement sont publics. La loi peut prévoir des exceptions. Cette disposition constitutionnelle ne confère pas au justiciable de droit à une audience publique dans toutes les causes visées à l'art. 30 al. 1 Cst., c'est-à- dire à celles qui donnent droit à un contrôle judiciaire. Elle se limite à garantir, lorsqu'il y a lieu de tenir une audience, que celle-ci se déroule publiquement, sauf exceptions prévues par la loi. Un droit comme tel à des débats publics (oraux) n'existe que pour les causes bénéficiant de la protection de l'art. 6 § 1 de la Convention de sauvegarde des droits de l'homme et des libertés fondamentales du 4 novembre 1950 (CEDH, RS 0.101) ou lorsque les règles de procédure le prévoient ou encore lorsque sa nécessité découle des exigences du droit à la preuve (ATF 128 I 290 consid. 2 ; cf. aussi arrêt du Tribunal fédéral 9C_185/2009 du 19 août 2009 consid. 2.2.2).</w:t>
      </w:r>
    </w:p>
    <w:p>
      <w:r>
        <w:rPr>
          <w:b/>
        </w:rPr>
        <w:t>E. 4.2.2</w:t>
      </w:r>
    </w:p>
    <w:p>
      <w:r>
        <w:t>L'art. 6 § 1 CEDH garantit à chacun le droit à un examen équitable et public de sa cause, englobant en principe le droit pour une partie de pouvoir être entendue oralement devant le tribunal lors de séance publique, pour autant qu'elle n'y a pas explicitement ou implicitement renoncé. A cet égard, l'obligation d'organiser des débats publics dans le contentieux de l'assurance sociale au sens de l'art. 6 § 1 CEDH, de l'art. 30 al. 3 Cst. et de l'art. 40 LTAF suppose une demande du plaideur. Pour qu'une telle demande puisse être prise en considération, elle doit être formulée de manière claire et indiscutable; de simples requêtes de preuve, comme des demandes tendant à une comparution ou à une interrogation personnelle, à un interrogatoire des parties, à une audition de témoins ou à une inspection locale ne suffisent pas pour fonder une semblable obligation (ATF 125 V 38 consid. 2; cf. aussi arrêt du Tribunal fédéral 9C_185/2009 consid. 2.2.3). Les parties doivent, par ailleurs, faire valoir leur droit à des débats publics en temps utile; une demande faite en dehors du cadre de l'échange d'écritures doit être considérée comme tardive. Saisi d'une demande tendant à l'organisation de débats, le juge doit en principe y donner suite. A titre exceptionnel, il peut y renoncer dans les cas énumérés à l'art. 6 § 1 deuxième phrase CEDH. En outre, en matière d'assurances sociales, il est admissible de refuser la tenue d'une audience publique malgré une requête expresse du justiciable notamment quand il s'agit de questions hautement techniques ou pour tenir compte de l'exigence de la célérité du procès ou lorsque le Tribunal, même sans débats publics, entend donner suite aux conclusions matérielles de la partie qui a demandé les débats (ATF 122 V 47 consid. 3 et les références; cf. aussi arrêt du Tribunal fédéral 9C_480/2009 du 21 août 2009 consid. 4, arrêt du Tribunal fédéral 9C_220/2016 du 1er septembre 2016, consid. 2.1).</w:t>
      </w:r>
    </w:p>
    <w:p>
      <w:r>
        <w:rPr>
          <w:b/>
        </w:rPr>
        <w:t>E. 4.2.3</w:t>
      </w:r>
    </w:p>
    <w:p>
      <w:r>
        <w:t>En l'espèce, la recourante n'a pas demandé l'organisation de débats publics en application du principe de la publicité des débats. Comme cela ressort de son mémoire du 3 février 2014, sa requête tendant à la fixation d'une audience avait pour but de permettre sa comparution et son interrogation personnelle et à son avocat de développer dans une plus large mesure ses arguments juridiques. Partant sa requête est rejetée.</w:t>
      </w:r>
    </w:p>
    <w:p>
      <w:r>
        <w:rPr>
          <w:b/>
        </w:rPr>
        <w:t>E. 5</w:t>
      </w:r>
    </w:p>
    <w:p>
      <w:r>
        <w:t>Pour avoir droit à une rente de l'assurance invalidité suisse, tout requérant doit remplir, lors de la survenance de l'invalidité, cumulativement les conditions suivantes : être invalide au sens de la LPGA/LAI et avoir versé des cotisations à l'AVS/AI suisse durant une année au moins (cf. art. 36 LAI dans sa teneur en vigueur jusqu'au 31 décembre 2007).</w:t>
      </w:r>
    </w:p>
    <w:p>
      <w:r>
        <w:rPr>
          <w:b/>
        </w:rPr>
        <w:t>E. 5.1</w:t>
      </w:r>
    </w:p>
    <w:p>
      <w:r>
        <w:t>En l'occurrence, la recourante, ayant cotisé à l'AVS/AI suisse de nombreuses années (AI pce 24), remplit la condition liée à la durée minimale de cotisations. Il reste à examiner si elle est invalide au sens de la loi.</w:t>
      </w:r>
    </w:p>
    <w:p>
      <w:r>
        <w:rPr>
          <w:b/>
        </w:rPr>
        <w:t>E. 6.1</w:t>
      </w:r>
    </w:p>
    <w:p>
      <w:r>
        <w:t>L'invalidité au sens de la LPGA et de la LAI est l'incapacité de gain totale ou partielle qui est présumée permanente ou de longue durée, qui peut résulter d'une infirmité congénitale, d'une maladie ou d'un accident (art. 8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réadaptions exigibles. En cas d'incapacité de travail de longue durée, l'activité qui peut être exigée de lui peut aussi relever d'une autre profession ou d'un autre domaine d'activité (art. 6 LPGA). Aux termes de l'art. 28 al. 1 LAI, l'assuré a droit à un quart de rente s'il est invalide à hauteur de 40% au moins, à une demie rente s'il est invalide à 50% au moins, à trois quarts de rente s'il est invalide à hauteur de 60% au moins et à une rente entière s'il est invalide à hauteur de 70% au moins. Les rentes correspondant à un degré d'invalidité inférieur à 50% sont versées aux ressortissants suisses et aux ressortissants d'un Etat membre de l'Union européenne s'ils ont leur domicile et leur résidence habituelle sur le sol de l'un deux (art. 29 al. 4 LAI ; art. 7 du règlement (CE) n° 883/2004).</w:t>
      </w:r>
    </w:p>
    <w:p>
      <w:r>
        <w:rPr>
          <w:b/>
        </w:rPr>
        <w:t>E. 6.2</w:t>
      </w:r>
    </w:p>
    <w:p>
      <w:r>
        <w:t>La notion d'invalidité dont il est question à l'art. 8 LPGA et à l'art. 4 LAI est de nature économique/juridique et non médicale (ATF 116 V 246, consid. 1b). En d'autres termes, l'assurance-invalidité suisse couvre uniquement les pertes économiques liées à une atteinte à la santé physique et psychique, qui peut résulter d'une infirmité congénitale, d'une maladie ou d'un accident, et non d'une maladie en tant que telle. Selon la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 ATF 114 V 310, consid. 3c ; RCC 1991, p. 329, consid. 1c).</w:t>
      </w:r>
    </w:p>
    <w:p>
      <w:r>
        <w:rPr>
          <w:b/>
        </w:rPr>
        <w:t>E. 7.1.1</w:t>
      </w:r>
    </w:p>
    <w:p>
      <w:r>
        <w:t>Selon l'art. 16 LPGA, applicable par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 (méthode générale de la comparaison des revenus). S'agissant d'assurés n'exerçant pas d'activité lucrative avant d'être atteint dans leur santé, l'invalidité est déterminée par l'art. 8 al. 3 LPGA qui dispose que ces personnes sont réputée invalides si l'atteinte les empêche d'accomplir leurs travaux habituels (art. 28a al. 2 LAI et 27 RAI), telles les tâches domestiques (méthode spécifique). Dans un tel cas de figure, l'assuré a l'obligation de réduire le dommage et doit faire tout ce que l'on peut raisonnablement attendre de lui afin d'atténuer autant que faire se puisse les conséquences de son invalidité, en aménageant judicieusement son temps de travail et en recourant à l'aide de ses proches dans une mesure raisonnable notamment pour les travaux plus lourds (ATF 130 V 97, consid. 3.2 ; Michel Valterio, Droit de l'assurance-vieillesse et survivants (AVS et de l'assurance-invalidité (AI), 2011, N 2156 et les références citées). Lorsque l'assuré exerce une activité lucrative à temps partiel, l'invalidité pour cette activité est évaluée selon l'art. 16 LPGA. S'il accomplit ses travaux habituels, l'invalidité est fixée selon l'art. 28s al. 2 LAI pour cette activité-là. Dans ce cas, il s'agit pour l'administration de déterminer les parties respectives de l'activité lucrative et de l'accomplissement des travaux habituels. Le taux d'invalidité est alors calculé d'après le handicap dont la personne est affectée dans les deux domaines d'activité (art. 28a al. 3 LAI ; méthode mixte).</w:t>
      </w:r>
    </w:p>
    <w:p>
      <w:r>
        <w:rPr>
          <w:b/>
        </w:rPr>
        <w:t>E. 7.1.2</w:t>
      </w:r>
    </w:p>
    <w:p>
      <w:r>
        <w:t>Le choix de la méthode d'évaluation de l'invalidité dépendra du statut du bénéficiaire potentiel de la rente : assuré exerçant une activité lucrative à temps complet, assuré non actif ou assuré exerçant une activité lucrative à temps partiel. On décidera que l'assuré appartient à l'une ou l'autre de ces trois catégories en fonction de ce qu'il aurait fait dans les même circonstances si l'atteinte à la santé n'était pas survenue (ATF 125 V 146, consid. 2c ; Michel Valterio, op. cit., p. 583, N 2172). Il y a lieu ainsi d'examiner, en se plaçant au moment de l'examen du droit à la rente, si l'assuré, étant valide, aurait consacré l'essentiel de son activité à son ménage ou à une occupation lucrative, cela à la lumière de sa situation personnelle, familiale, sociale et professionnelle (situation financière du ménage, éducation des enfants, âge, qualifications professionnelles, formation, affinités et talents personnels de l'assuré ; art. 27bis RAI ; ATF 117 V 195, consid. 3b ; arrêts du Tribunal fédéral I 930/05 du 15 décembre 2006, consid. 3.1 ; I 603/04 du 5 septembre 2005, consid. 3 ; arrêt du Tribunal administratif fédéral C-7190/2013 du 6 janvier 2016, consid. 8). Ainsi, si l'assuré exerçait une activité lucrative à temps partiel ou une activité sans être rémunéré dans l'entreprise du conjoint parallèlement à l'accomplissement de travaux habituels, il convient de pondérer les deux méthodes (méthodes générales et spécifique) en fonction du temps alors attribué à chacune des activités précitées (méthode mixte ; art. 28a al. 3 RAI; ATF 125 V 146, consid. 2c ; arrêt du Tribunal fédéral 9C_790/2010 du 8 juillet 2011). Pour déterminer la part de l'activité lucrative par rapport à celle consacrée aux travaux ménagers, il convient d'examiner ce que ferait l'assuré dans les mêmes circonstances s'il n'était pas atteint dans sa santé. Le taux d'invalidité est calculé d'après le handicap dont la personne est affectée dans les deux domaines d'activité. L'obligation de réduire le dommage en organisant son travail et en recourant à l'aide des proches dans les travaux ménagers, notamment les plus lourds, s'applique également à l'assuré dont l'invalidité est évaluée selon la méthode mixte (ATF 133 V 504, consid. 4.2 ; arrêt du Tribunal fédéral 8C_440/2011 du 11 juillet 2011 consid. 4.2 ; Michel Valterio, op. cit., p. 584, N 2175).</w:t>
      </w:r>
    </w:p>
    <w:p>
      <w:r>
        <w:rPr>
          <w:b/>
        </w:rPr>
        <w:t>E. 7.2</w:t>
      </w:r>
    </w:p>
    <w:p>
      <w:r>
        <w:t>En l'occurrence, s'agissant du statut de la recourante, le Tribunal administratif fédéral relève que l'administration a estimé que la méthode mixte devait être appliquée pour l'évaluation du taux d'invalidité dans la mesure où le recourante travaillait, dans son dernier emploi, à un taux d'activité de 60% (AI pces 30 et 171). Dans le cadre de son mémoire de recours, la recourante a contesté l'application de cette méthode estimant que la méthode générale de la comparaison des revenus devait être appliquée. En substance, la recourante a expliqué qu'elle avait pris une activité à 60% qu'afin de limiter son temps de travail et par conséquent les activités pénibles et douloureuses que ce travail impliquait (TAF pce 1, p. 14, TAF pce 9). De cette manière, la recourante « aurait, sans atteinte à la santé, travaillé à n'en pas douter à plein temps » (TAF pce 1, p. 15). Cette argumentation ne saurait être suivie. En effet, et comme le souligne à juste titre l'OAI-GE (cf. annexe TAF pce 7, p. 2), il ressort des pièces figurant à la procédure que la recourante a travaillé à hauteur de 60% depuis le 13 août 2003 (AI pce 2, p. 1) soit bien avant son incapacité de travail survenue le 8 mai 2008. Par ailleurs, il ressort également du rapport des J._______ du 5 juillet 2012 que la recourante « ne veut pas travailler au-delà de 60% » (AI pce 125, p. 1). Cette dernière affirmation est d'ailleurs corroborée par le rapport d'enquête économique sur le ménage qui a retenu que la recourante « aurait accepté un 60% comme avant l'atteinte à la santé » et que « malgré les besoins financiers, l'assurée n'a pas envisagé d'augmenter son taux d'activité » (AI pce 175, p. 1). Enfin, il n'existe aucun indice permettant de conclure que le taux d'occupation réduite est consacré à des hobbies ou à d'autres activités d'accomplissement personnel (cf. ATF 131 V 51, consid. 5.1.2 ; ATF 133 V 504, consid. 4.2 ; arrêts du Tribunal fédéral 8C_373/2008 du 28 août 2008, consid. 3.2.2 et I 609/05 du 2 février 2008, consid. 4.3.2). Au regard de ce qui précède, il apparaît au Tribunal administratif fédéral que la recourante aurait sans atteinte à la santé, continué à travailler à temps partiel. Partant, c'est à bon droit que l'administration a retenu un statut mixte pour évaluer l'invalidité de la recourante. Enfin, c'est également en conformité avec le droit que l'administration a déterminé la part de l'activité lucrative à 60% et celle de l'accomplissement des autres travaux habituels à 40%.</w:t>
      </w:r>
    </w:p>
    <w:p>
      <w:r>
        <w:rPr>
          <w:b/>
        </w:rPr>
        <w:t>E. 8.1</w:t>
      </w:r>
    </w:p>
    <w:p>
      <w:r>
        <w:t>Selon l'art. 69 al. 2 du règlement du 17 janvier 1961 sur l'assurance-invalidité (RAI, RS 831.201), l'office de l'assurance-invalidité compétent réunit les pièces nécessaires, en particulier sur l'état de santé du requérant, son activité, sa capacité de travail et son aptitude à être réadapté, ainsi que sur l'indication de mesures déterminées de réadaptation; à cet effet peuvent être exigées ou effectuées des rapports ou des renseignements, des expertises ou des enquêtes sur place, il peut être fait appel aux spécialistes de l'aide publique ou privée aux invalides.</w:t>
      </w:r>
    </w:p>
    <w:p>
      <w:r>
        <w:rPr>
          <w:b/>
        </w:rPr>
        <w:t>E. 8.2</w:t>
      </w:r>
    </w:p>
    <w:p>
      <w:r>
        <w:t>Dans le cadre d'un recours, 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w:t>
      </w:r>
    </w:p>
    <w:p>
      <w:r>
        <w:rPr>
          <w:b/>
        </w:rPr>
        <w:t>E. 8.3</w:t>
      </w:r>
    </w:p>
    <w:p>
      <w:r>
        <w:t>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des doutes quant à sa valeur probante (ATF 125 V 351 consid. 3b/dd ; arrêt du Tribunal fédéral 9C_24/2008 du 27 mai 2008 consid. 2.3.2 ; Plädoyer 2009 p. 72 ss).</w:t>
      </w:r>
    </w:p>
    <w:p>
      <w:r>
        <w:rPr>
          <w:b/>
        </w:rPr>
        <w:t>E. 9.1</w:t>
      </w:r>
    </w:p>
    <w:p>
      <w:r>
        <w:t>En l'occurrence, le Tribunal administratif fédéral constate, à titre liminaire, que l'expertise interdisciplinaire de médecine interne, rhumatologie et psychiatrie a été établie à la suite de trois visites médicales (qui ont eu lieu les 9, 21 et 22 septembre 2009), que les trois experts, chacun spécialiste de leur discipline, ont tenu compte des plaintes actuelles et subjectives de l'intéressée (AI pce 50, p. 6 à 7, 17 à 18, et 21), et qu'ils se sont fondés sur des examens cliniques complets et en pleine connaissance de l'anamnèse (AI pce 50, p. 3 à 6). Par ailleurs, la description de la situation médicale y est claire et les conclusions auxquelles arrivent les experts sont motivées (AI pce 50, p. 7 à 8, 18 à 19 et 22 à 23). De plus, la méthodologie utilisée par les experts (cf AI pce 50, p. 1) est rigoureuse et structurée ce qui confère à l'expertise une grande complétude. Enfin, les experts discutent de manière approfondie et détaillée les diagnostics, que ceux-ci aient été retenus ou écartés, ainsi que les répercussions sur la capacité de travail de l'intéressée (AI pce 50, p. 8 à 13, 18 à 19 et 22 à 26). Du point de vue de la médecine interne, la Dresse G._______ a retenu les diagnostics de syndrome métabolique (obésité, diabète type II, hypertension artérielle), et lithiases urinaires précisant toutefois que ces diagnostics étaient sans conséquence sur la capacité de travail de l'intéressée dans sa dernière activité (AI pce 50, p. 9). Par ailleurs, la Dresse G._______ n'a pas retenu de limitation pour les coliques néphrétiques expliquant que ceux-ci interviennent certes régulièrement mais de manière espacée (environ une fois par année ; AI pce 50, p. 10). D'un point de vue rhumatologique, le Dr. H._______ a retenu les diagnostics de cervico-dorso lombarthrose ainsi que gonarthrose bilatérale modérée précisant que ces diagnostics ont une répercussion sur la capacité de travail de l'intéressée (AI pce 50, p. 8 et 19). Cet expert a précisé que l'exercice de la dernière activité de l'intéressée (éducatrice de la petite enfance) restait, en l'état, « contre-indiqué » (AI pce 50, p. 19). Toutefois, le Dr. H._______ a estimé qu'une activité plus légère était exigible à temps plein « sans restriction » moyennant le respect des limitations fonctionnelles suivantes : (i) la position debout prolongée, (ii) les positions penchées en avant de façon répétée (iii) le port de charge de plus de 10 kg, principalement en se relevant d'une position penchée en avant et (iv) les positions agenouillées (AI pce 50, p. 19). Le Dr. H._______ cite en particulier les activités « plutôt administrative » (AI pce 50, p. 19). D'un point de vue psychiatrique, le Dr. I._______ a retenu les diagnostics de trouble dépressif somatique d'intensité moyenne (CIM, F32.1) et attaque de panique (CIM F41.0) depuis 2008 précisant que ces diagnostics n'ont aucune répercussion sur la capacité de travail de l'intéressée dans sa dernière activité (AI pce 50, p. 9 et 22). Le Dr. I._______ a ajouté que « on peut estimer que la symptomatologie psychique est consécutive aux douleurs. L'atteinte psychique n'est pas suffisante pour avoir une répercussion sur la capacité de travail. Elle n'entraîne pas de perte de la capacité de rester à sa place de travail ou de perte de rendement. D'un point de vue psychique, le pronostic est favorable. Il dépend de la problématique physique » (AI pce 50, p. 23). Au final, les experts ont retenu que les troubles ostéo-articulaires étendus de l'intéressée ne lui permettent pas d'exercer son activité telle que décrite à plus de 50%. Toutefois, ces experts ont retenu que l'intéressée « reste apte à exercer une activité légère, adaptée à ses troubles ostéo-articulaires » (AI pce 50, p. 11). Les résultats de l'expertise interdisciplinaire en médecine interne, rhumatologie et psychiatrie (AI pce 50), ont été confirmés par le Dr. F._______ à l'occasion d'un rapport médical SMR daté du 15 février 2010 (AI pce 53). Ainsi, cet expert a notamment retenu une incapacité de travail à 100% dans l'activité habituelle depuis le 8 mai 2008. Toutefois, dès le 2 juin 2008, le Dr. F._______ a retenu une capacité de travail à 100% dans une activité adaptée aux limitations fonctionnelles (AI pce 53, p. 2).</w:t>
      </w:r>
    </w:p>
    <w:p>
      <w:r>
        <w:rPr>
          <w:b/>
        </w:rPr>
        <w:t>E. 9.2</w:t>
      </w:r>
    </w:p>
    <w:p>
      <w:r>
        <w:t>S'agissant ensuite du complément d'expertise psychiatrique (AI pce 96), le Tribunal administratif fédéral constate également que celui-ci a été établi à la suite de deux visites médicales (qui ont eu lieu les 17 et 24 janvier 2011), que l'expert, spécialiste de sa discipline, a tenu compte des plaintes actuelles et subjectives de l'intéressée (AI pce 96, p. 2 à 3), et qu'il s'est fondé sur des examens cliniques complets et en pleine connaissance de l'anamnèse (AI pce 96, p. 2). Par ailleurs, la description de la situation médicale y est claire et les conclusions auxquelles arrivent l'expert sont cohérentes et suffisantes (bien que certaines d'entre elles ne soient que succinctement motivées ; AI pce 96, p. 3). Enfin, l'expert discute de manière approfondie et détaillée les diagnostics, que ceux-ci aient été retenus ou écartés, ainsi que les répercussions sur la capacité de travail de l'intéressée (AI pce 96, p. 4 à 7). Dans le cadre de ce complément d'expertise psychiatrique, le Dr. I._______ a confirmé une nouvelle fois que la recourante présente un trouble dépressif dont l'intensité peut être qualifiée de moyenne ainsi que des attaques de panique (AI pce 96, p. 4). Toutefois, ces diagnostics n'affecte en rien la capacité de travail de la recourante qui reste exigible à 100%, sans diminution de rendement, tant dans l'activité précédente que dans une activité de substitution (AI pce 96, p. 6). Les conclusions du complément d'expertise psychiatrique ont d'ailleurs été confirmées par l'avis médical du Dr. L._______ (cf. AI pce 99).</w:t>
      </w:r>
    </w:p>
    <w:p>
      <w:r>
        <w:rPr>
          <w:b/>
        </w:rPr>
        <w:t>E. 9.3</w:t>
      </w:r>
    </w:p>
    <w:p>
      <w:r>
        <w:t>La recourante conteste le résultat et les conclusions de l'expertise pluridisciplinaire en médecine interne, rhumatologie et psychiatrie ainsi que du complément d'expertise psychiatrique et soutient, dans une argumentation diffuse et peu claire, que le Dr. I._______ n'aurait pas suffisamment tenu compte de son état de santé psychiatrique fragile (cf. TAF pce 1, p. 15 à 17). Néanmoins, la recourante ne produit aucun document médical ni aucun autre élément qui permettrait de mettre en doute la valeur probante de l'expertise interdisciplinaire en médecine interne, rhumatologie et psychiatrie ainsi que du complément d'expertise psychiatrique. En réalité, la recourante se contente ici de superposer son appréciation médicale à celle des experts, sans justifier sa position ; en d'autres termes, la recourante affirme ce qu'elle devrait démontrer. En particulier, la recourante n'explique pas en quoi les éléments que le Dr. I._______ aurait prétendument omis de prendre en considération (TAF pce 1, p. 16), sont pertinents dans le cas d'espèce. De la même manière, on discerne mal en quoi le simple fait que les conclusions de l'expertise interdisciplinaire psychiatrique et du complément d'expertise psychiatrique soient similaires remette en doute la valeur probante de ces documents. Au contraire, le Dr. I._______ a clairement expliqué que l'état de santé psychique de la recourante n'a pas évolué et indiqué que les troubles constatés « sont dus aux problèmes physiques qui touche l'expertisée et à la situation financière dans laquelle se trouve la famille. Il est habituel de constater des symptômes dépressifs et anxieux chez une personne dont la situation financière est précaire alors qu'elle doit encore subvenir aux besoins de certains de ses enfants. Un abaissement de l'humeur, des troubles du sommeil et de l'appétit, une baisse de l'estime de soi et de la confiance en soi sont très fréquents dans ces situations. La longue période d'attente avant qu'une décision ne puisse être prise sur sa demande de prestation auprès de l'assurance invalidité contribue également à augmenter son niveau global d'anxiété » (AI pce 96, p. 4). Par surabondance de motif, on précisera encore que le rapport médical (cf. AI pce 78) de même que le certificat médical (cf. AI pce 105) établis par le Dr. K._______ ne sauraient remettre en cause les conclusions du complément d'expertise psychiatrique. En effet, ces documents, qui contiennent notamment une motivation des plus sommaires, s'écartent de manière importante des autres documents médicaux figurant à la procédure sans explications quelconques. Ces document ne remplissent pas les critères jurisprudentiels permettant de leur reconnaitre une valeur probante.</w:t>
      </w:r>
    </w:p>
    <w:p>
      <w:r>
        <w:rPr>
          <w:b/>
        </w:rPr>
        <w:t>E. 9.4</w:t>
      </w:r>
    </w:p>
    <w:p>
      <w:r>
        <w:t>En conséquence, il ressort des constatations qui précèdent que l'expertise interdisciplinaire en médecine interne, rhumatologie et psychiatrie, de même que le complément d'expertise psychiatrique ont été menées lege artis en conformité avec les standards applicables. Le Tribunal de céans peut donc leur reconnaître une pleine valeur probante. Dès lors, le Tribunal administratif fédéral a acquis la conviction que l'appréciation médicale de l'état de santé de la recourante ressort suffisamment de l'ensemble des pièces médicales figurant au dossier de la procédure, et notamment de l'expertise interdisciplinaire en médecine interne, rhumatologie et psychiatrie ainsi que du complément d'expertise psychiatrique. Partant, l'OAI-GE est fondé, sur la base notamment de ces documents, à retenir une incapacité totale de travail dans l'activité habituelle (0%) et une pleine capacité de travail dans une activité adaptée (100%) respectant les limitations fonctionnelles mentionnées. Au regard de ce qui précède et en l'absence de contradiction et d'erreur dans l'expertise interdisciplinaire en médecine interne, rhumatologie et psychiatrie et dans le complément d'expertise psychiatrique, il n'est aucunement nécessaire d'ordonner une expertise judiciaire, de sorte que la conclusion préalable prise en ce sens par la recourante doit être rejetée (cf. ATF 125 V 352 consid. 3b ; arrêt du Tribunal fédéral 9C_625/2014 du 2 décembre 2014, consid. 3.3).</w:t>
      </w:r>
    </w:p>
    <w:p>
      <w:r>
        <w:rPr>
          <w:b/>
        </w:rPr>
        <w:t>E. 10</w:t>
      </w:r>
    </w:p>
    <w:p>
      <w:r>
        <w:t>Le Tribunal administratif fédéral a retenu ci-avant que la méthode applicable en l'espèce pour évaluer le degré d'invalidité de la recourante est la méthode mixte (cf. consid. 7 supra). Il convient à présent d'évaluer le degré d'invalidité de la recourante.</w:t>
      </w:r>
    </w:p>
    <w:p>
      <w:r>
        <w:rPr>
          <w:b/>
        </w:rPr>
        <w:t>E. 10.1</w:t>
      </w:r>
    </w:p>
    <w:p>
      <w:r>
        <w:t>A ce propos, la Cour européenne des droits de l'homme a, dans un arrêt récent, jugé que la méthode mixte d'évaluation du taux d'invalidité est contraire à l'art. 14 CEDH. Les juges de Strasbourg ont en particulier retenu que « pour la grande majorité des femmes souhaitant travailler à temps partiel à la suite de la naissance des enfants, la méthode mixte s'avère discriminatoire » (arrêt de la Cour Européenne des droits de l'homme du 2 février 2016, dans l'affaire Di Trizio c. Suisse, n° 7186/09, § 97, voir également TF 9F_8/2016, consid. 4.3 et TF 9C_604/2016, consid. 3.3.4). Cet arrêt est devenu définitif le 4 juillet 2016.</w:t>
      </w:r>
    </w:p>
    <w:p>
      <w:r>
        <w:rPr>
          <w:b/>
        </w:rPr>
        <w:t>E. 10.2</w:t>
      </w:r>
    </w:p>
    <w:p>
      <w:r>
        <w:t>In casu, dans la mesure où la méthode mixte d'évaluation du taux d'invalidité a été jugée contraire à l'art. 14 CEDH, celle-ci ne serait plus être applicable. Par ailleurs, il n'appartient pas au Tribunal administratif fédéral de créer une nouvelle méthode d'évaluation de l'invalidité qui remplacerait la méthode mixte ; cette compétence revient au législateur ou au Tribunal fédéral dans le cadre de la procédure de révision pendante devant lui et faisant suite à l'arrêt de la Cour européenne des droits de l'homme précité. Partant, le recours doit être partiellement admis et l'affaire doit être renvoyée à l'autorité inférieure pour une nouvelle évaluation du taux d'invalidité et nouvelle décision. Pour le surplus, le Tribunal administratif fédéral note que la question de la valeur probante de l'enquête ménagère du 8 octobre 2013 (AI pce 175) peut, en l'espèce, rester indécise. En effet, dans la mesure où l'enquête ménagère concrétise la méthode mixte, laquelle peut en fonction des circonstances apparaître comme non conforme au droit conventionnel (cf. consid. 10.1 supra), une nouvelle enquête ménagère devra en tout état être établie.</w:t>
      </w:r>
    </w:p>
    <w:p>
      <w:r>
        <w:rPr>
          <w:b/>
        </w:rPr>
        <w:t>E. 11.1</w:t>
      </w:r>
    </w:p>
    <w:p>
      <w:r>
        <w:t>La recourante ayant eu gain de cause dans le sens d'un renvoi de la cause à l'autorité inférieure (ATF 132 V 215, consid. 5.2), il n'est pas perçu de frais de procédure (art. 63 PA). L'avance de frais de Fr. 400.- lui sera remboursée dès l'entrée en force du présent arrêt.</w:t>
      </w:r>
    </w:p>
    <w:p>
      <w:r>
        <w:rPr>
          <w:b/>
        </w:rPr>
        <w:t>E. 11.2</w:t>
      </w:r>
    </w:p>
    <w:p>
      <w:r>
        <w:t>Dans la mesure où l'admission du présent recours intervient sur la base d'un arrêt rendu le 2 février 2016 par la Cour européenne des droits de l'homme, soit durant la procédure de recours, et que ni la recourante, respectivement son conseil, ni l'autorité inférieure n'ont fait mention de cet arrêt, singulièrement des conséquences en découlant, il ne se justifie pas in casu d'allouer des dépens (art. 64 al. 1 a contrario PA et art. 7 al. 1 a contrario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