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C-579/2010 vom 18. August 2011</w:t>
      </w:r>
    </w:p>
    <w:p>
      <w:r>
        <w:t>Bundesverwaltungsgericht, 2011-08-18, FR</w:t>
      </w:r>
    </w:p>
    <w:p>
      <w:r>
        <w:rPr>
          <w:b/>
        </w:rPr>
        <w:t xml:space="preserve">Quelle: </w:t>
      </w:r>
      <w:r>
        <w:t>https://mcp.opencaselaw.ch/entscheid/bvger_C-579_2010</w:t>
      </w:r>
    </w:p>
    <w:p>
      <w:r>
        <w:t>FR: TAF C-579/2010 du 18 août 2011</w:t>
      </w:r>
    </w:p>
    <w:p>
      <w:r>
        <w:t>IT: TAF C-579/2010 del 18 agosto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10 décembre 2009 est le bien-fondé, suite à la révision du droit à la rente initiée fin 2008, de la suppression avec effet au 1er février 2010 de la demi-rente d'invalidité perçue par l'intéressée par décision sur opposition du 7 décembre 2006 au motif d'une amélioration de son état de santé.</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6.5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l'octroi de la demi-rente par décision du 7 décembre 2006 de l'OAIE est la base de comparaison avec la décision de suppression du 10 décembre 2009.</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En l'espèce, l'intéressée a été mise au bénéfice d'une demi-rente d'invalidité dès le 1er janvier 2006 par décision sur opposition du 7 décembre 2006 qui relevait une amélioration de son état de santé depuis l'octroi de la rente entière à compter du 1er novembre 1995. A l'appui de la décision sur opposition du 7 décembre 2006 il avait alors été retenu comme diagnostic (rapport du Dr C._______ du 6 septembre 2005) une légère colite ulcéreuse du rectum, un status clinique en complète rémission, des rechutes alléguées non documentées, un status intestinal amélioré en regard de 1995, une apparente nette amélioration de la dyspnée n'excluant que les travaux moyennement lourds et lourds, soit un état de santé permettant une reprise de l'activité précédemment exercée à 50% à compter de la date du rapport de la Sécurité sociale espagnole effectué le 14 juillet 2004 qui avait conclu à la possibilité d'exercer une activité adaptée toutefois sans en préciser le taux.</w:t>
      </w:r>
    </w:p>
    <w:p>
      <w:r>
        <w:rPr>
          <w:b/>
        </w:rPr>
        <w:t>E. 9.2</w:t>
      </w:r>
    </w:p>
    <w:p>
      <w:r>
        <w:t>Suite à la révision du droit à la rente initiée fin 2008, il est apparu des deux rapports E 213 du 19 décembre 2008 et de juillet 2009 l'appréciation par le service médical de la Sécurité sociale espagnole que l'intéressée était en mesure d'exercer à plein temps une activité légère, voire moyenne, adaptée. Le rapport E 213 du 19 décembre 2008 le mentionne expressément alors que le rapport de juillet 2009 mentionne la possibilité pour l'assurée d'effectuer des tâches moyennement lourdes. Sur le plan ostéoarticulaire ces deux rapports n'indiquent aucune atteinte objective au rachis ni aux membres inférieurs et supérieurs et relèvent une marche normale. Les polyarthralgies évoquées par l'assurée ne sont pas spécifiées objectivement. L'ostéopénie alléguée par la recourante n'est pas en soi une maladie, elle est la constatation d'une densité osseuse inférieure à la norme d'au plus 25% sans être de la densité qualifiée de l'ostéoporose égale ou supérieure à 25% (critères de l'Organisation mondiale de la santé) qui elle est une maladie et peut être invalidante. La dyspnée dont fait encore état l'assurée dans ses derniers écrits n'a pas d'origine cardiaque ou pulmonaire, elle est l'expression d'un manque d'exercice comme il en ressort du dossier médical. Enfin, la colite ulcéreuse qui avait été à l'origine de l'octroi de la rente entière à l'assurée liée à une prise de poids très importante ensuite de l'absorption d'une médication à base de cortisone est restée quiescente depuis la fin des années 90. Ceci fut relevé par le service médical de l'OAIE lors de l'attribution de la demi-rente d'invalidité et ceci fut encore confirmé à l'occasion de la révision initiée fin 2008, mise à part une inflammation de l'intestin relevée dans un rapport du 29 avril 2005 qui avait rapidement été soignée. Il s'ensuit de ce qui précède que la prise de position de la Dresse E._______ énonçant la possibilité pour l'intéressée d'exercer à nouveau une activité légère à plein temps peut être suivie sans réserve confirmant ainsi la réalité d'une amélioration sensible de l'état de santé au moins depuis le 19 décembre 2008, date du rapport E 213 énonçant expressément la possibilité d'une activité adaptée à 100%. Les rapports médicaux du Dr F._______ faisant notamment état d'un ulcère de large évolution avec épisodes fréquents légers et modérés nécessitant l'usage fréquent de corticoïdes, soit 2 à 3 fois par année, ne permettent pas de mettre en doute la prise de position de la Dresse E._______ car les atteintes alléguées ne sont pas documentées de manière à fonder une incapacité de travail durable en relation avec lesdites atteintes intermittentes.</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Des difficultés liées à un marché de l'emploi tendu, telles qu'invoquées par la recourante, ne sont pas du ressort de l'assurance-invalidité.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11.1</w:t>
      </w:r>
    </w:p>
    <w:p>
      <w:r>
        <w:t>En l'espèce il y a lieu de procéder à une évaluation de l'invalidité selon la méthode générale par une comparaison de revenus sur la base de l'Enquête suisse sur la structure des salaires 2008 car il appert que c'est à compter du 19 décembre 2008 que l'intéressée a présenté une capacité de travail entière objectivement constatée. En effet, selon la jurisprudence, les salaires avant et après invalidité doivent être pris en compte / indexés jusqu'à la date de la survenance du droit théorique éventuel à la rente suite au délai d'attente d'une année (ATF 128 V 174 et 129 V 222).</w:t>
      </w:r>
    </w:p>
    <w:p>
      <w:r>
        <w:rPr>
          <w:b/>
        </w:rPr>
        <w:t>E. 11.2</w:t>
      </w:r>
    </w:p>
    <w:p>
      <w:r>
        <w:t>L'OAIE a retenu comme base de comparaison sans invalidité le revenu de l'intéressée dans son emploi en 1995 (indice: 2'087), soit, y compris le 13ème salaire, le montant de Fr. 4'319.74 par mois. Indexé selon les salaires nominaux valeur 2008 (indice: 2'499), ce montant s'élève à Fr. 5'172.51.</w:t>
      </w:r>
    </w:p>
    <w:p>
      <w:r>
        <w:rPr>
          <w:b/>
        </w:rPr>
        <w:t>E. 11.3</w:t>
      </w:r>
    </w:p>
    <w:p>
      <w:r>
        <w:t>Le salaire après invalidité doit être fixé sur la base des données statistiques résultant de l'Enquête suisse sur les salaires 2008 (table TA1). En l'occurrence les activités de substitution proposées par la Dresse E._______ s'inscrivent dans la détermination du revenu médian toutes branches confondues des femmes dans le secteur privé pour des activités simples et répétitives (niveau 4) à 100%, soit Fr. 4'116.- pour 40 h./sem. et Fr. 4'280.64 pour 41.6 h./sem., sous déduction de 20% pour tenir compte de l'âge de l'assurée et de ses restrictions personnelles aux activités légères, soit Fr. 3'424.51.-. De nombreuses activités d'entre elles peuvent être exercées sans efforts moyennement importants en position assise ou autorisant le changement de position, ou encore plus généralement de type sédentaire sans surfaces présentant des dénivellations, de sorte que ces activités sont adaptées au handicap de la recourante. De plus, la majeure partie de ces postes ne nécessite pas de formation particulière autre qu'une mise au courant initiale.</w:t>
      </w:r>
    </w:p>
    <w:p>
      <w:r>
        <w:rPr>
          <w:b/>
        </w:rPr>
        <w:t>E. 11.4</w:t>
      </w:r>
    </w:p>
    <w:p>
      <w:r>
        <w:t>En comparant le salaire avant invalidité de Fr. 5'172.51 avec celui après invalidité de Fr. 3'424.51, on obtient une perte de gain de 33.79% arrondie à 34% ([5'172.51 - 3'424.51] : 5'172.51 x 100). Même indexés valeurs 2010, année de la décision attaquée, les revenus à comparer ne permettent pas d'atteindre un taux d'invalidité égal ou supérieur à 40%. Il appert de ce qui précède que le recours doit être rejeté et la décision attaquée confirmée.</w:t>
      </w:r>
    </w:p>
    <w:p>
      <w:r>
        <w:rPr>
          <w:b/>
        </w:rPr>
        <w:t>E. 12</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ou son maintien si, comme en l'espèce, l'intéressée est encore à même de mettre à profit sa capacité de travail.</w:t>
      </w:r>
    </w:p>
    <w:p>
      <w:r>
        <w:rPr>
          <w:b/>
        </w:rPr>
        <w:t>E. 13.1</w:t>
      </w:r>
    </w:p>
    <w:p>
      <w:r>
        <w:t>Les frais de procédure, fixés à CHF 300.-, sont mis à la charge de la recourante (art. 63 al. 1 PA, applicable par le truchement de l'art. 37 LTAF). Ils sont compensés par l'avance de frais du même montant dont elle s'est acquittée au cours de l'instruction.</w:t>
      </w:r>
    </w:p>
    <w:p>
      <w:r>
        <w:rPr>
          <w:b/>
        </w:rPr>
        <w:t>E. 13.2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