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C-5789/2011 vom 9. Januar 2013</w:t>
      </w:r>
    </w:p>
    <w:p>
      <w:r>
        <w:t>Bundesverwaltungsgericht, 2013-01-09, DE</w:t>
      </w:r>
    </w:p>
    <w:p>
      <w:r>
        <w:rPr>
          <w:b/>
        </w:rPr>
        <w:t xml:space="preserve">Quelle: </w:t>
      </w:r>
      <w:r>
        <w:t>https://mcp.opencaselaw.ch/entscheid/bvger_C-5789_2011</w:t>
      </w:r>
    </w:p>
    <w:p>
      <w:r>
        <w:t>FR: TAF C-5789/2011 du 9 janvier 2013</w:t>
      </w:r>
    </w:p>
    <w:p>
      <w:r>
        <w:t>IT: TAF C-5789/2011 del 9 gennaio 2013</w:t>
      </w:r>
    </w:p>
    <w:p>
      <w:pPr>
        <w:pStyle w:val="Heading2"/>
      </w:pPr>
      <w:r>
        <w:t>Regeste</w:t>
      </w:r>
    </w:p>
    <w:p>
      <w:r>
        <w:t>Einreiseverbot</w:t>
      </w:r>
    </w:p>
    <w:p>
      <w:pPr>
        <w:pStyle w:val="Heading2"/>
      </w:pPr>
      <w:r>
        <w:t>Erwägungen</w:t>
      </w:r>
    </w:p>
    <w:p>
      <w:r>
        <w:rPr>
          <w:b/>
        </w:rPr>
        <w:t>E. 1.1</w:t>
      </w:r>
    </w:p>
    <w:p>
      <w:r>
        <w:t>Verfügungen des BFM, mit denen ein Einreiseverbot im Sinne von Art. 67 des Bundesgesetzes vom 16. Dezember 2005 über die Ausländerin­nen und Ausländer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den Bestimmungen des Verwaltungsverfahrensgesetzes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Beschwerdeführer rügt in formeller Hinsicht, die Vorinstanz habe seinen Anspruch auf rechtliches Gehör nicht gebührend berücksichtigt. Obwohl sie vom Vertretungsverhältnis mit dem Rechtsvertreter Kenntnis gehabt haben müsse, sei dieser nicht über einem entsprechenden Antrag der kantonalen Migrationsbehörde auf Erlass einer Fernhaltemassnahme informiert und auch nicht zu einer Stellung­nahme eingeladen wor­den.</w:t>
      </w:r>
    </w:p>
    <w:p>
      <w:r>
        <w:rPr>
          <w:b/>
        </w:rPr>
        <w:t>E. 3.2</w:t>
      </w:r>
    </w:p>
    <w:p>
      <w:r>
        <w:t>Der Anspruch auf rechtliches Gehör ist formeller Natur. Seine Ver­letzung führt daher ungeachtet der Erfolgsaussichten der Beschwerde in der Sache selbst zur Aufhebung der angefochtenen Verfügung. Vor­behalten bleiben nach der Rechtsprechung des Bundesgerichts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Sodann ist von einer Rückweisung der Sache zur Gewährung des recht­lichen Gehörs an die Verwaltung im Sinne einer Heilung des Man­gels selbst bei einer schwerwiegenden Verletzung des rechtlichen Ge­hörs dann abzusehen, wenn und soweit die Rückweisung zu einem formalistischem Leerlauf und damit zu unnötigen Verzögerungen füh­ren würde, die mit dem (der Anhörung gleichgestellten) Interesse der betroffenen Partei an einer beförderlichen Beurteilung der Sache nicht zu vereinbaren wäre (BGE 133 I 201 E. 2.2 S. 204 f.; BGE 132 V 387 E. 5.1 S. 390 mit Hinweisen; BVGE 2009/36 E. 7.3 S. 501 f.).</w:t>
      </w:r>
    </w:p>
    <w:p>
      <w:r>
        <w:rPr>
          <w:b/>
        </w:rPr>
        <w:t>E. 3.3</w:t>
      </w:r>
    </w:p>
    <w:p>
      <w:r>
        <w:t>Die Verletzung des rechtlichen Gehörs könnte im Falle des Beschwerdeführers - sollte überhaupt auf eine solche zu schliessen sein - nicht als schwerwiegend betrachtet werden. Zwar hat die kantonale Migrationsbehörde den Beschwerdeführer am 16. Septem­ber 2011 direkt mit ihrer Absicht konfrontiert, beim BFM ein Einreise­ver­bot zu beantragen; dies nachdem der Rechtsvertreter im Verfahren auf Widerruf der Niederlassungsbewilligung tags zuvor per Telefax darum ersucht hatte, bei der Vorinstanz den Verzicht auf eine solche Massnahme zu erwirken. Es stellte sich zumindest die Frage, ob die Bitte des Rechtsvertreters nicht auch als Anzeige eines Vertretungs­verhältnisses für ein mögliches Verfahren auf Erlass eines Einreisever­bots zu verstehen oder - im Zweifelsfalle - von der kantonalen Migra­tions­behörde zu verifizieren gewesen wäre. Zu Recht macht aber der Beschwerdeführer nicht geltend, dass ihm aus der solchermassen möglicherweise mangelhaften Eröffnung Nachteile entstanden wären. Er hat, wie erwähnt, persönlich zum Erlass einer Fernhaltemassnahme Stellung nehmen können. Im anschliessenden Rechtsmittelverfahren hat er seine Interessen nochmals in ausführlicher Form einbringen können. Das Bundesverwaltungsgericht entscheidet mit uneinge­schränk­ter Kognition und eine Rückweisung an die Vorinstanz käme einem formalistischen Leerlauf gleich, weil in der Sache selbst keine neuen Erkenntnisse zu erhoffen wären. Im Übrigen lauten die Rechts­begehren des Beschwerdeführers nicht auf eine Kassation und Neube­urteilung durch die Vorinstanz, sondern auf eine materielle Beurteilung durch die Rechtsmittelinstanz.</w:t>
      </w:r>
    </w:p>
    <w:p>
      <w:r>
        <w:rPr>
          <w:b/>
        </w:rPr>
        <w:t>E. 4.1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Gemeingefährliche Verbrechen und Vergehen wie die einfache und qualifizierte Brandstiftung oder auch strafbare Handlungen gegen das Vermögen wie eben Betrug fallen ohne weiteres unter diese Begriffs­be­stimmung und können als solche ein Einreiseverbot nach sich ziehen.</w:t>
      </w:r>
    </w:p>
    <w:p>
      <w:r>
        <w:rPr>
          <w:b/>
        </w:rPr>
        <w:t>E. 5</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6</w:t>
      </w:r>
    </w:p>
    <w:p>
      <w:r>
        <w:t>Der Beschwerdeführer wurde in zweiter Instanz der versuchten qualifi­zierten Brandstiftung sowie des versuchten Betruges schuldig gespro­chen und zu einer Freiheitsstrafe von 3¾ Jahren verurteilt. Mit einer Delin­quenz dieser Art wurde der Fernhaltegrund einer Verletzung der öf­fentlichen Sicherheit und Ordnung gemäss Art. 67 Abs. 2 Bst. a AuG ohne weiteres gesetzt.</w:t>
      </w:r>
    </w:p>
    <w:p>
      <w:r>
        <w:rPr>
          <w:b/>
        </w:rPr>
        <w:t>E. 7.1</w:t>
      </w:r>
    </w:p>
    <w:p>
      <w:r>
        <w:t>Im Folgenden ist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und St. Gallen 2010, Rz. 613 ff.).</w:t>
      </w:r>
    </w:p>
    <w:p>
      <w:r>
        <w:rPr>
          <w:b/>
        </w:rPr>
        <w:t>E. 7.1.1</w:t>
      </w:r>
    </w:p>
    <w:p>
      <w:r>
        <w:t>Das öffentliche Interesse an einer Fernhaltung des Beschwerde­füh­rers ist schon aus objektiver, präventiv-polizeilicher Sicht als gewichtig einzu­stufen. Ausländische Personen, die sich während ihrer Anwesenheit in der Schweiz Verbrechen oder Vergehen wie der Brandstiftung oder des Betrugs bzw. der Versuche dazu schuldig machen, sind nach Möglichkeit von der Schweiz fernzuhalten. Es gilt durch eine kontinuierliche und kon­sequente Verwaltungspraxis zu verdeutlichen, dass solche Delinquenz zum Schutz der öffentlichen Sicherheit und Ordnung in aller Regel Fern­haltemassnahmen zur Folge hat.</w:t>
      </w:r>
    </w:p>
    <w:p>
      <w:r>
        <w:rPr>
          <w:b/>
        </w:rPr>
        <w:t>E. 7.1.2</w:t>
      </w:r>
    </w:p>
    <w:p>
      <w:r>
        <w:t>In subjektiver Hinsicht wiegt das dem Beschwerdeführer vorgehal­tene, massnahmeauslösende Fehlverhalten ausgesprochen schwer. Nach den Feststellungen des Kantonsgerichts und seiner Vorin­stanz gilt als erwie­sen, dass der Beschwerdeführer am 28. Juli 2008 gegen Mitter­nacht im Keller eines Mehrfamilienhauses in Z._______ (SG), in dessen Erdge­schoss sich sein Imbissgeschäft befand, mit Benzin einen Brand legte, und zwar unmittelbar neben einer dort stehenden halbvollen Propangas­fla­sche. Danach floh er aus dem Gebäude, bei dem es sich gemäss den Fest­stellungen der Kantonspolizei in ihrem Schlussbericht vom 4. No­vem­ber 2008 um einen alten Holzbau handelt. Die drei Bewoh­ner des Hauses befanden sich zur Tatzeit in ihren Wohnungen, zwei davon schliefen be­reits. Den Brand legte der Beschwerdeführer nach den Erkenntnissen der Strafjustiz, weil er sich mittels der erhoff­ten Versicherungsleistungen in der Grössenordnung von ca. 60'000 bis 70'000 Franken aus seiner misslichen finanziellen Situation befreien wollte. Die Propangasflasche wäre nach Einschätzung von Fach­leuten schon für sich alleine geeignet gewesen, eine heftige Explosion zu verursa­chen (so die Kantonspolizei im erwähnten Schlussbericht). Dem Beschwerdeführer war im Zeitpunkt der Tatausführung bewusst, dass sich drei Menschen im Haus aufhielten. Nur dank der Aufmerksamkeit und Geistesgegenwart eines noch wachen Mitbewohners konnte das Haus rechtzeitig evakuiert und der Brand in einem frühen Stadium gelöscht werden.</w:t>
      </w:r>
    </w:p>
    <w:p>
      <w:r>
        <w:rPr>
          <w:b/>
        </w:rPr>
        <w:t>E. 7.1.3</w:t>
      </w:r>
    </w:p>
    <w:p>
      <w:r>
        <w:t>Das Kantonsgericht St. Gallen beurteilte das Verschulden des Be­schwerdeführers als schwer, da er aus finanziellen Beweggründen mit di­rektem Vorsatz das Leben von Hausbewohnern in Gefahr gebracht habe und es einzig glücklichen Umständen zuzuschreiben sei, dass keine Men­schen zu Schaden kamen und sich das Feuer nicht weiter ausbreitete.</w:t>
      </w:r>
    </w:p>
    <w:p>
      <w:r>
        <w:rPr>
          <w:b/>
        </w:rPr>
        <w:t>E. 7.1.4</w:t>
      </w:r>
    </w:p>
    <w:p>
      <w:r>
        <w:t>Das Verwaltungsgericht des Kantons St. Gallen hielt in seinem Ur­teil vom 11. August 2011 in Zusammenhang mit der Würdigung des sicher­heitspolizeilichen Interesses an einer Wegweisung des Beschwer­defüh­rers fest, dass nicht nur aus straf-, sondern auch aus administrativ­rechtlicher Optik von einem schweren Verschulden auszugehen sei. Das widerspiegle sich schon in der vom Strafgericht ausgesprochenen mehr­jährigen Strafe. Der Beschwerdeführer habe die gemeingefährliche Straf­tat einzig wegen seiner angespannten finanziellen Lage begangen und dabei ohne weiteres in Kauf genommen, mit dem Brand Drittpersonen in höchste Lebensgefahr zu bringen. Reue und Einsicht habe er selbst im Strafvollzug keine gezeigt. Während das Bestrei­ten der Tat vor dem Straf­richter eine zulässige Verteidigungsstrate­gie darstelle und lediglich im Rahmen der Strafzumessung berücksichtigt werde, müsse das weitge­hende hartnäckige Leugnen des Beschwerdefüh­rers hinsicht­lich dessen künftigen Wohlverhaltens in der Schweiz als ungünstig gewertet werden. Ohne Einsicht in sein Fehlverhal­ten deute nichts darauf hin, dass er in Zukunft Verantwortung für sein Handeln übernehmen und sich wohlver­halten werde (E. 3.3 des er­wähnten Urteils). An anderer Stelle hielt das Gericht fest, der Beschwerde­führer habe in Freiheit zwar selber keine Fürsorgegelder bezo­gen, die letzten vier Jahre vor seiner Verhaf­tung aber beruflich kei­nen Tritt mehr gefasst, sei arbeitslos gewesen oder habe trotz eigenem Ge­schäft von seinen Kindern unterstützt werden müs­sen (E. 3.5.1 des er­wähnten Urteils).</w:t>
      </w:r>
    </w:p>
    <w:p>
      <w:r>
        <w:rPr>
          <w:b/>
        </w:rPr>
        <w:t>E. 7.1.5</w:t>
      </w:r>
    </w:p>
    <w:p>
      <w:r>
        <w:t>Das Amt für Justizvollzug des Kantons St. Gallen schliesslich konn­te dem Beschwerdeführer zumindest für ein Leben in der Schweiz keine günstige Prognose stellen. Es bewilligte zwar in einer Verfügung vom 10. Dezember 2010 die bedingte Entlassung aus dem Strafvollzug, machte diese aber von der Möglichkeit einer Ausschaffung bzw. einer freiwil­ligen Ausreise aus der Schweiz abhängig.</w:t>
      </w:r>
    </w:p>
    <w:p>
      <w:r>
        <w:rPr>
          <w:b/>
        </w:rPr>
        <w:t>E. 7.2</w:t>
      </w:r>
    </w:p>
    <w:p>
      <w:r>
        <w:t>Vor dem aufgezeigten Hintergrund kann nicht ernsthaft in Frage ge­stellt werden, dass vom Beschwerdeführer eine schwerwiegende Gefahr für die öffentli­che Sicherheit und Ordnung ausgeht, welche die Ver­hän­gung einer Fernhaltemassnahme von einer fünf Jahre überschrei­ten­den Dauer rechtfertigt (vgl. Art. 67 Abs. 3 AuG).</w:t>
      </w:r>
    </w:p>
    <w:p>
      <w:r>
        <w:rPr>
          <w:b/>
        </w:rPr>
        <w:t>E. 7.3.1</w:t>
      </w:r>
    </w:p>
    <w:p>
      <w:r>
        <w:t>An persönlichen Interessen daran, nicht mit einer Fernhaltemass­nahme von mehr als einem Jahr belegt zu werden, lässt der Beschwerde­füh­rer seine Kontakte zu den in der Schweiz bleibenden Familienangehö­ri­gen (Ehefrau, Sohn und Tochter) ins Feld führen. Die Aufrechterhaltung dieser familiären Beziehungen könne nicht in genügender Weise gewähr­leistet werden. Besuche in der Schweiz setzten ein Bewilligungsverfahren voraus, welches von der Vorinstanz bekanntermassen sehr restriktiv ge­handhabt werde. Komme hinzu, dass seine Ehefrau sozialhilfeabhängig sei und ihn deshalb während maximal vier Wochen im Jahr in der Türkei besuchen könnte. Längere Abwesenheiten hätten eine Streichung der Unterstützungsleistungen zur Folge. Schliesslich habe das kantonale Ver­waltungsgericht im Zusammenhang mit dem Widerruf der Nieder­las­sungs­bewilligung den Anspruch auf Familienleben gerade des­halb als gewährleistet erachtet, weil gegenseitige Besuche noch möglich seien. Entsprechend dürfe kein Einreiseverbot verhängt werden, das eben gerade diesen Anspruch wieder vereitle.</w:t>
      </w:r>
    </w:p>
    <w:p>
      <w:r>
        <w:rPr>
          <w:b/>
        </w:rPr>
        <w:t>E. 7.3.2</w:t>
      </w:r>
    </w:p>
    <w:p>
      <w:r>
        <w:t>Mit dem Wegfall der Niederlassungsbewilligung und damit seines An­wesenheitsrechts in der Schweiz ist der Beschwerdeführer der norma­len ausländerrechtlichen Gesetzgebung unterstellt, wie sie gegenüber türkischen Staatsangehörigen ganz allgemein zur Anwendung kommt. Demnach braucht er selbst für besuchsweise Einreisen in die Schweiz ein Visum. Der zusätzliche Aufwand, der mit der gleichzeitigen Beantragung ei­ner Suspension des Einreiseverbots (gestützt auf Art. 67 Abs. 5 in fine AuG) zusammen hängt, erscheint angesichts der auf dem Spiele stehen­den öffentlichen Interessen nicht als unverhältnismässig. Soweit der Be­schwerdeführer einwendet, solche Suspensionen würden von der Vorin­stanz nur restriktiv und damit im Ergebnis ungenügend gewährt, nimmt er auf spekulative Weise das mögliche Ergebnis einer Gesuchsbehandlung vorweg, die mit einer Verfügung endet und im verweigernden Fall auf dem Rechtsmittelweg angefochten werden kann.</w:t>
      </w:r>
    </w:p>
    <w:p>
      <w:r>
        <w:rPr>
          <w:b/>
        </w:rPr>
        <w:t>E. 7.3.3</w:t>
      </w:r>
    </w:p>
    <w:p>
      <w:r>
        <w:t>Die Verhängung eines Einreiseverbots steht entgegen der Auffas­sung des Beschwerdeführers auch nicht im Widerspruch zur im Zusam­men­hang mit dem Widerruf der Niederlassungsbewilligung vorge­nommenen Interessenabwägung des kantonalen Verwaltungsgerichts. Tat­sächlich hielt das Gericht in seinem mehrfach zitierten Urteil vom 11. Au­gust 2011 unter Erwägung 3.6.3 Folgendes fest: "Die Familie wird ihre Beziehung zumindest mit den heutzutage für jedermann zugäng­lichen Kom­munikationsmitteln und mittels gegenseitigen Besuchen wei­ter­hin auf­recht erhalten können. Persönliche Besuche werden künftig selbst in der Schweiz möglich sein, weil mit Inkrafttreten des neuen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 Das kantonale Verwaltungs­ge­richt hielt mit andern Worten fest, dass die von ihm beur­teilte Massnahme Entfernungs-, nicht jedoch Fernhaltecharakter habe und als solche nicht an Wiedereinreisen zu Besuchsaufenthalten hindere. Es wies aber gleichzeitig auch darauf hin, dass ein Einreiseverbot verhängt werden könne und wer dafür zuständig wäre. Die Zulässigkeit eines sol­chen Einreiseverbots hatte das Gericht naheliegenderweise nicht zu beur­teilen.</w:t>
      </w:r>
    </w:p>
    <w:p>
      <w:r>
        <w:rPr>
          <w:b/>
        </w:rPr>
        <w:t>E. 8.1</w:t>
      </w:r>
    </w:p>
    <w:p>
      <w:r>
        <w:t>Ein Einreiseverbot wird auf unbestimmte Dauer verhängt, wenn zum Zeitpunkt seiner Anordnung keine zuverlässige Prognose darüber abge­ge­ben werden kann, wie lange seitens der betroffenen Person ein Ri­siko für die öffentliche Sicherheit und Ordnung ausgehen wird. Treten wesent­liche neue Sachumstände ein oder verhält sich der Massnahmebelastete wäh­rend längerer Zeit klaglos, so kann dies zum Anlass für einen Antrag auf wiedererwägungsweise Überprüfung durch die Vorinstanz genommen wer­den (vgl. dazu BVGE 2008/24 E. 4.3 und 6.2 je mit Hinweisen).</w:t>
      </w:r>
    </w:p>
    <w:p>
      <w:r>
        <w:rPr>
          <w:b/>
        </w:rPr>
        <w:t>E. 8.2</w:t>
      </w:r>
    </w:p>
    <w:p>
      <w:r>
        <w:t>Angesichts der Schwere der begangenen Straftat, aber auch in Berücksichtigung des Umstandes, dass der Beschwerdeführer die Tat offenbar nach wie vor bestreitet und es somit an einer erkennbaren Einsicht in den Unrechtsgehalt der Tat fehlt, ist die unbefristete Anord­nung nicht zu beanstanden.</w:t>
      </w:r>
    </w:p>
    <w:p>
      <w:r>
        <w:rPr>
          <w:b/>
        </w:rPr>
        <w:t>E. 9</w:t>
      </w:r>
    </w:p>
    <w:p>
      <w:r>
        <w:t>Eine wertende Gewichtung der sich gegenüberstehenden Interessen führt das Bundesverwaltungsgericht daher zum Schluss, dass die gegen den Be­schwerdeführer verhängte Fernhaltemassnahme eine verhältnismäs­sige und angemessene Massnahme zum Schutze der öffentlichen Sicher­heit und Ordnung darstellt.</w:t>
      </w:r>
    </w:p>
    <w:p>
      <w:r>
        <w:rPr>
          <w:b/>
        </w:rPr>
        <w:t>E. 10</w:t>
      </w:r>
    </w:p>
    <w:p>
      <w:r>
        <w:t>Soweit der Beschwerdeführer rügt, die SIS-Ausschreibung verunmögliche ihm, Kontakte zu Familienangehörigen im übrigen Schengen-Raum zu reali­sieren, gilt es folgendes festzustellen: Es ist dem Beschwerdeführer aufgrund der Ausschreibung des Einreise­verbots im SIS zwar tatsächlich untersagt, den Schengen-Raum zu betreten (Art. 5 Abs. 1 Bst. d SGK). Der darin liegende Eingriff ist aber durch die Bedeutung des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(BVGE 2011/48 E. 6.1). Im Übrigen wird die Ausschrei­bung eines Einreiseverbots im SIS periodisch auf seine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w:t>
      </w:r>
    </w:p>
    <w:p>
      <w:r>
        <w:rPr>
          <w:b/>
        </w:rPr>
        <w:t>E. 11</w:t>
      </w:r>
    </w:p>
    <w:p>
      <w:r>
        <w:t>Aus den vorstehenden Erwägungen ergibt sich, dass die angefochtene Verfügung Bundesrecht nicht verletzt und den rechtserheblichen Sachver­halt richtig und vollständig feststellt; sie ist auch angemessen (Art. 49 VwVG). Die Beschwerde ist daher abzuweisen.</w:t>
      </w:r>
    </w:p>
    <w:p>
      <w:r>
        <w:rPr>
          <w:b/>
        </w:rPr>
        <w:t>E. 12</w:t>
      </w:r>
    </w:p>
    <w:p>
      <w:r>
        <w:t>Bei diesem Ausgang des Verfahrens wären die Kosten dem Beschwerde­füh­rer aufzuerlegen (Art. 63 Abs. 1 VwVG). Indes wurde ihm mit Zwi­schen­verfügung des Bundesverwaltungsgerichts vom 1. Dezem­ber 2011 die unentgeltliche Rechtspflege im Sinne von Art. 65 Abs. 1 und 2 VwVG gewährt, weshalb auf die Erhebung von Verfahrenskosten zu ver­zichten und dem als amtlichen Anwalt eingesetzten Rechtsanwalt Wal­ter Wagner eine angemessene Entschädigung auszurichten ist. Mangels einer Hono­rarnote ist die Höhe der Entschädigung des unent­geltlichen Rechtsbei­standes in Anwendung der gesetzlichen Berechnungsgrundlagen (Art. 8 bis Art. 11 i.V.m. Art. 12 sowie Art. 14 des Reglements vom 21. Februar 2008 über die Kosten und Entschädigungen vor dem Bundes­verwaltungsgericht [VGKE, SR 173.320.2]) auf Fr. 1'500.- festzulegen (MwSt. inkl.).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