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C-5787/2007 vom 29. Oktober 2009</w:t>
      </w:r>
    </w:p>
    <w:p>
      <w:r>
        <w:t>Bundesverwaltungsgericht, 2009-10-29, FR</w:t>
      </w:r>
    </w:p>
    <w:p>
      <w:r>
        <w:rPr>
          <w:b/>
        </w:rPr>
        <w:t xml:space="preserve">Quelle: </w:t>
      </w:r>
      <w:r>
        <w:t>https://mcp.opencaselaw.ch/entscheid/bvger_C-5787_2007</w:t>
      </w:r>
    </w:p>
    <w:p>
      <w:r>
        <w:t>FR: TAF C-5787/2007 du 29 octobre 2009</w:t>
      </w:r>
    </w:p>
    <w:p>
      <w:r>
        <w:t>IT: TAF C-5787/2007 del 29 ottobre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et la forme prescrits (art. 60 LPGA et 52 PA), l'avance de frais versée dans le délai imparti (cf. pces 4 ss TAF),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La recourante a présenté sa demande de rente le 12 mai 2006.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12 mai 2005 (12 mois avant le dépôt de la demande) ou si le droit à une rente était né entre cette date et le 19 juillet 2007, date de la décision attaquée marquant la limite dans le temps du pouvoir d'examen de l'autorité de recours (ATF 130 V 445 consid. 1.2 et 1.2.1).</w:t>
      </w:r>
    </w:p>
    <w:p>
      <w:r>
        <w:rPr>
          <w:b/>
        </w:rPr>
        <w:t>E. 6.1</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w:t>
      </w:r>
    </w:p>
    <w:p>
      <w:r>
        <w:rPr>
          <w:b/>
        </w:rPr>
        <w:t>E. 6.2</w:t>
      </w:r>
    </w:p>
    <w:p>
      <w:r>
        <w:t>En l'occurrence, la recourante a versé des cotisations à l'AVS/AI pendant plus d'une année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7.5</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du Règlement sur l'assurance-invalidité du 17 janvier 1961 (RAI, RS 831.201) précise que par travaux habituels des assurés travaillant dans le ménage, il faut entendre, notamment, l'activité usuelle dans le ménage, l'éducation des enfants ainsi que toute activité artistique ou d'utilité publique.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27bis RAI).</w:t>
      </w:r>
    </w:p>
    <w:p>
      <w:r>
        <w:rPr>
          <w:b/>
        </w:rPr>
        <w:t>E. 8.1</w:t>
      </w:r>
    </w:p>
    <w:p>
      <w:r>
        <w:t>La recourante a travaillé en Suisse d'octobre 1977 à juillet 1979, ainsi que d'octobre 1983 à août 1984, notamment dans le domaine de la confection. De retour dans son pays d'origine, elle a exercé, du 1er février 2002 à janvier 2004 à tout le moins, l'activité d'agricultrice dans l'entreprise familiale. Parallèlement, elle s'est consacrée à son domicile à ses tâches ménagères.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8.2</w:t>
      </w:r>
    </w:p>
    <w:p>
      <w:r>
        <w:t>Il faut toutefois préciser que lorsque l'assuré exerce une activité lucrative à temps partiel, l'invalidité pour cette activité est évaluée selon l'art. 16 LPGA. S'il accomplit ses travaux habituels, l'invalidité est fixée selon l'art. 28 al. 2bis LAI pour cette activité-là. Dans ce cas, les parts respectives de l'activité lucrative et de l'accomplissement des travaux habituels sont déterminées; le taux d'invalidité est calculé d'après le handicap dont la personne est affectée dans les deux domaines d'activité (art. 28 al. 2ter LAI; méthode mixte).</w:t>
      </w:r>
    </w:p>
    <w:p>
      <w:r>
        <w:rPr>
          <w:b/>
        </w:rPr>
        <w:t>E. 8.3</w:t>
      </w:r>
    </w:p>
    <w:p>
      <w:r>
        <w:t>On peut admettre en raison du domicile à l'étranger de l'assuré que l'évaluation de l'invalidité dans le travaux habituels soit effectuée avec le concours d'un médecin et non d'un enquêteur qualifié, à condition que le médecin se détermine de manière circonstanciée et détaillée sur les limitations alléguées par l'assuré (ATF I 733/06 du 16 juillet 2007 consid. 4.2.2). Dans le cadre de la méthode mixte, il y a lieu de se fonder, par analogie à l'évaluation du degré d'invalidité, sur la moyenne pondérée de l'incapacité de travail dans les deux secteurs d'activité. Le Tribunal fédéral des assurances a précisé qu'en cas d'atteinte à la santé psychique, l'enquête sur les activités ménagères est un moyen approprié pour évaluer l'invalidité de ces personnes. Toutefois,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ATF 130 V 97 consid. 3.3).</w:t>
      </w:r>
    </w:p>
    <w:p>
      <w:r>
        <w:rPr>
          <w:b/>
        </w:rPr>
        <w:t>E. 9</w:t>
      </w:r>
    </w:p>
    <w:p>
      <w:r>
        <w:t>En l'espèce, il est établi que la recourante souffre principalement d'une hernie discale en L4-L5, opérée en 1996.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retient que l'incapacité de travailler de la recourante dans sa dernière activité d'agricultrice n'ascende qu'à 30% et qu'elle peut pourvoir sans limitations à ses tâches domestiques ainsi qu'exercer à plein temps une activité légère et adaptée. Dans cette mesure, sa perte de gain serait, à l'avis de l'Office, insuffisante pour ouvrir le droit à une rente de l'assurance-invalidité suisse. À ce propos, il convient de relever qu'une erreur s'est glissée dans le rapport du 20 juin 2007 du Dr B._______ lorsqu'il indique, dans la dernière phrase, que l'intéressée présente un taux de 70% et de 0% dans une activité de substitution, sans toutefois préciser s'il s'agit d'un taux d'incapacité ou de capacité. En fait, en accord avec ce qui précède dans le rapport, il faut lire que l'intéressée pourrait reprendre son travail d'agricultrice à 70% ou une activité de substitution à plein temps. La recourante a par contre avancé que son état de santé l'empêchait d'exercer son activité d'agricultrice dans l'entreprise familiale et d'effectuer ses tâches ménagères. Elle a dès lors conclu à l'octroi d'une rente d'invalidité.</w:t>
      </w:r>
    </w:p>
    <w:p>
      <w:r>
        <w:rPr>
          <w:b/>
        </w:rPr>
        <w:t>E. 11.2</w:t>
      </w:r>
    </w:p>
    <w:p>
      <w:r>
        <w:t>A titre liminaire, il sied de rappeler que le degré d'invalidité d'un assuré qui prétend une rente de l'assurance-invalidité suisse est déterminé exclusivement d'après le droit suisse (cf. supra 3). Contrairement à ce que soutient implicitement la recourante, la décision de la sécurité sociale espagnole ne lie donc pas les autorités suisses. Le Tribunal de céans relève que, sur le vu de la documentation médicale versée en cause, la recourante présente une bonne mobilité cervicale (cf. pce 24) et dorsale (cf. pce 19). Il ressort, de plus, du dossier que l'intervention chirurgicale qui a eu lieu en mars 1996 s'est bien déroulée et que l'évolution post-opératoire a été favorable (cf. pce 12). L'état de santé de l'assurée n'a, d'ailleurs, depuis l'opération pas subi d'aggravation. La recourante a, en outre, pu exercer sa dernière activité d'agricultrice sans limitations jusqu'en 2004, voire 2006, comme l'a relevé le Dr B._______ du service médical de l'OAIE dans sa prise de position du 11 mars 2007 (pce 22). Le syndrome du tunnel carpien diagnostiqué en 2002 (cf. pce 14), enfin, peut être aisément traité et n'a pas vocation dans notre occurrence à générer une incapacité de travail sensible. Force est dès lors pour l'autorité de céans de se rallier à l'avis de l'OAIE et de son service médical (cf. pce 29) et de considérer que, nonobstant les troubles orthopédiques dont elle souffre, la recourante doit pouvoir reprendre sa dernière activité d'agricultrice à hauteur de 70%, en évitant les travaux les plus lourds de la profession. L'assurée dispose, en tout état de cause, d'une pleine capacité de travail dans une activité de substitution légère et adaptée - telle que surveillant de parking/musée, réparation de petits appareils/articles domestiques, caissier, vendeur de billets, enregistrement, classement, archivage, accueil/ réceptionniste, standardiste/téléphoniste, saisie de données/scannage -, ainsi que dans l'activité de ménagère. L'invalidité de la recourante est donc immanquablement inférieure à 30% (cf. supra 8.3; comparaison en pour-cent; ATF 114 V 310 consid. 3a p. 313; ATF 104 V 135 consid. 2b p. 136 s.). Elle n'a, partant, pas droit à une rente de l'assurance-invalidité suisse (art. 28 al. 1 LAI).</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Par voie de conséquence, le recours du 27 août 2007 doit être rejeté et la décision du 19 juillet 2007 confirmée.</w:t>
      </w:r>
    </w:p>
    <w:p>
      <w:r>
        <w:rPr>
          <w:b/>
        </w:rPr>
        <w:t>E. 13</w:t>
      </w:r>
    </w:p>
    <w:p>
      <w:r>
        <w:t>Il n'est pas perçu de frais de procédure. 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