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C-5775/2008 vom 4. November 2009</w:t>
      </w:r>
    </w:p>
    <w:p>
      <w:r>
        <w:t>Bundesverwaltungsgericht, 2009-11-04, DE</w:t>
      </w:r>
    </w:p>
    <w:p>
      <w:r>
        <w:rPr>
          <w:b/>
        </w:rPr>
        <w:t xml:space="preserve">Quelle: </w:t>
      </w:r>
      <w:r>
        <w:t>https://mcp.opencaselaw.ch/entscheid/bvger_C-5775_2008</w:t>
      </w:r>
    </w:p>
    <w:p>
      <w:r>
        <w:t>FR: TAF C-5775/2008 du 4 novembre 2009</w:t>
      </w:r>
    </w:p>
    <w:p>
      <w:r>
        <w:t>IT: TAF C-5775/2008 del 4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Kenia ist ein typisches Entwicklungsland im subsaharischen Afrika, nimmt aber dennoch eine herausragende Stellung innerhalb der ostafrikanischen Region ein. Das Wirtschaftswachstum betrug im Jahre 2008 4,1% (2007: 6,3%). Knapp 60% der Bevölkerung leben allerdings unterhalb der Armutsgrenze (ca. 25% verfügen über weniger als 1 USD pro Tag); 60% der Bevölkerung der Hauptstadt Nairobi leben in Slums. Kenias Budget ist zwar zu 95% geberunabhängig, die Verschuldung ist aber 2008 weiter angestiegen. Die nach den Wahlen im Dezember 2007 eingetretene politische Krise hat die wirtschaftliche Fortentwicklung Kenias im ersten Halbjahr 2008 stark gehemmt. Der Tourismussektor, die grösste Devisenquelle, wird noch längere Zeit am Imageschaden Kenias als Reiseland zu leiden haben (Länder- und Reiseinformationen des Auswärtigen Amtes &gt; Länder, Reisen und Sicherheit &gt; Kenia &gt; Wirtschaftspolitik, www.auswaertiges-amt.de, Stand: Mai 2009, besucht im Oktober 2009). In Kenia sind nach wie vor viele - vornehmlich junge Menschen - arbeitslos oder in unsicheren Verhältnissen beschäftigt. Entsprechend hoch ist der Anteil jener, die versuchen, nach Westeuropa - unter anderem auch in die Schweiz - zu gelangen, um sich unter günstigeren Lebensbedingungen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8.1</w:t>
      </w:r>
    </w:p>
    <w:p>
      <w:r>
        <w:t>Bei der Eingeladenen handelt es sich um eine 20-jährige, unverheiratete und kinderlose Frau. Gemäss den Angaben der Beschwerdeführer lebt sie bei ihren Eltern in Muranga, zeitweise bei ihrer Grossmutter im 100 km entfernten Nairobi. Die Beschwerdeführer betonen in diesem Zusammenhang, dass die Gesuchstellerin sich sehr intensiv und aufopfernd um ihre seit einem Unfall gesundheitlich angeschlagene Grossmutter kümmere und überdies verschiedene (nicht näher bezeichnete) Rollen und Verantwortungen gegenüber ihren beiden Geschwistern und einem Pflegekind wahrzunehmen habe. Dieses Argument vermag nach Ansicht des Bundesverwaltungsgerichts schon deshalb nicht zu überzeugen, weil der Umstand, dass gleich eine dreimonatige Landesabwesenheit geplant ist, nicht ohne weiteres darauf schliessen lässt, die Präsenz der Gesuchstellerin sei für die Belange ihrer Familie unverzichtbar; aufgrund der Aktenlage ist eher davon auszugehen, die Betreuung der Grossmutter sowie gegebenenfalls weiterer Personen könne durchaus für längere Zeit auch auf andere Weise sichergestellt werden. Nach dem bisher Gesagten kann nicht davon ausgegangen werden, dass der Gesuchstellerin in ihrem Heimatland familiäre Verpflichtungen obliegen, die besondere Gewähr für eine Wiederausreise bieten könnten. Tritt hinzu, dass in Situationen angespannter wirtschaftlicher Verhältnisse regelmässig selbst zurückbleibende nahe Angehörige nicht verlässlich davon abhalten können, den Entscheid für eine Emigration zu fällen. Dass sich die Eingeladene und wohl auch ihre Familienangehörigen nicht in besonders vorteilhaften wirtschaftlichen Verhältnissen befinden, davon muss ausgegangen werden. Die Beschwerdeführer machen denn auch geltend, sie unterstützten die Gesuchstellerin schon seit Jahren finanziell, damit sie die Sekundarschule besuchen konnte. Auch während ihrer Berufsausbildung dürfe sie weiterhin mit ihrer Unterstützung rechnen.</w:t>
      </w:r>
    </w:p>
    <w:p>
      <w:r>
        <w:rPr>
          <w:b/>
        </w:rPr>
        <w:t>E. 8.2</w:t>
      </w:r>
    </w:p>
    <w:p>
      <w:r>
        <w:t>Im Zeitpunkt der Gesuchseinreichung war die Gesuchstellerin nicht erwerbstätig. Auf ihrem Visumantrag gab sie an, Studentin am "X._______ College" in Nairobi zu sein. In den Gesuchsakten findet sich diesbezüglich eine Bestätigung des besagten Institutes vom 8. Mai 2008, wonach die Eingeladene ihren zweijährigen Lehrgang in Computer- und Informatiktechnologie voraussichtlich im Februar 2010 abschliessen werde. Die Beschwerdeführer nahmen zu dieser Ausbildung keine Stellung, sondern hielten gegenüber der kantonalen Migrationsbehörde auf entsprechende Frage hin vielmehr fest, die Gesuchstellerin habe im Oktober/November 2007 die Sekundarschule abgeschlossen und werde sich um einen Ausbildungsplatz als Krankenschwester bemühen. Mit Eingabe vom 14. Oktober 2009 weisen die Beschwerdeführer denn auch darauf hin, dass die Eingeladene mittlerweile die entsprechende Berufsausbildung begonnen habe. Vor dem Hintergrund der schwierigen Verhältnisse vor Ort versteht es sich jedoch von selbst und bedarf keiner weiteren Erläuterung, dass die Tatsache einer laufenden Berufsausbildung allein nicht schon den Schluss auf intakte Zukunftsaussichten und damit auf fehlenden Migrationsdruck zulässt.</w:t>
      </w:r>
    </w:p>
    <w:p>
      <w:r>
        <w:rPr>
          <w:b/>
        </w:rPr>
        <w:t>E. 9.1</w:t>
      </w:r>
    </w:p>
    <w:p>
      <w:r>
        <w:t>Gestützt auf die vorstehenden Erwägungen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 An dieser Risikoeinschätzung vermag auch der Hinweis auf die offenbar kurz bevorstehende (erleichterte) Einbürgerung der Beschwerdeführerin nichts zu ändern. Die Integrität der Beschwerdeführer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der Verpflichtungserklärung am 10. Juli 2008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anstelle vieler: Urteile des Bundesverwaltungsgerichts C-204/2008 vom 5. März 2009 E. 8.4 und C-2618/2008 vom 26. Februar 2009 E.11, mit weiteren Hinweisen). Insofern bezieht sich die positive Stellungnahme der Einwohnerkontrolle der Stadt Zug vom 18. Juli 2008 (vgl. Ziff. 3 der Verpflichtungserklärung), auf welche die Beschwerdeführer in ihrem ans BFM gerichteten Telefax vom 2. September 2008 offenbar Bezug nehmen, allein auf die Garantiefähigkeit der Gastgeber in finanzieller Hinsicht. Hingegen handelt es sich dabei nicht um eine (ohnehin die Vorinstanz bzw. das Bundesverwaltungsgericht nicht bindende) vorbehaltlose Beurteilung des Einreisegesuches durch die kantonale Migrationsbehörde (vgl. das Übermittlungsschreiben des Amtes für Migration des Kantons Zug an das BFM vom 24. Juli 2008).</w:t>
      </w:r>
    </w:p>
    <w:p>
      <w:r>
        <w:rPr>
          <w:b/>
        </w:rPr>
        <w:t>E. 9.2</w:t>
      </w:r>
    </w:p>
    <w:p>
      <w:r>
        <w:t>Soweit die Beschwerdeführer vorbringen, sämtliche bisherigen Gäste aus Kenia seien stets fristgerecht in ihr Heimatland zurückgekehrt, gilt es darauf hinzuweisen, dass sich mangels näherer Angaben einerseits nicht eruieren lässt, unter welchen Umständen diesen Personen (Mutter, Schwester sowie beste Freundin der Beschwerdeführerin) in der Vergangenheit ein Einreisevisum erteilt wurde. Andererseits weist jeder Einzelfall - wie vorliegend belegt - eine ihm eigene und spezifische Konstellation auf, so dass er nicht ohne weiteres mit anderen, angeblich gleich gelagerten Fällen verglichen werden kann. Der (durchaus verständliche) Wunsch der Beschwerdeführer, der Eingeladenen als Belohnung für die erfolgreiche Absolvierung der Sekundarschule ihr Lebensumfeld in der Schweiz zeigen zu können, hat demnach in den Hintergrund zu treten. Auch die weiteren Vorbringen, insbesondere die Bemerkungen zur Visum-Statistik des BFM, sind nicht geeignet, zu einer von der Vorinstanz abweichenden rechtlichen Würdigung zu gelangen. Den Beschwerdeführern steht weiterhin die Möglichkeit offen, die Gesuchstellerin im Rahmen ihrer alljährlichen Ferienaufenthalte in Kenia zu besuchen. Die Pflege der verwandtschaftlichen Kontakte zwischen den Beteiligten dürfte somit sichergestellt sein.</w:t>
      </w:r>
    </w:p>
    <w:p>
      <w:r>
        <w:rPr>
          <w:b/>
        </w:rPr>
        <w:t>E. 10</w:t>
      </w:r>
    </w:p>
    <w:p>
      <w:r>
        <w:t>Vor dem aufgezeigten Hintergrund erweist sich die angefochtene Verfügung als rechtmässig (Art. 49 VwVG). Die Beschwerde ist daher abzuweisen.</w:t>
      </w:r>
    </w:p>
    <w:p>
      <w:r>
        <w:rPr>
          <w:b/>
        </w:rPr>
        <w:t>E. 11</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