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C-5773/2011 vom 3. Mai 2012</w:t>
      </w:r>
    </w:p>
    <w:p>
      <w:r>
        <w:t>Bundesverwaltungsgericht, 2012-05-03, DE</w:t>
      </w:r>
    </w:p>
    <w:p>
      <w:r>
        <w:rPr>
          <w:b/>
        </w:rPr>
        <w:t xml:space="preserve">Quelle: </w:t>
      </w:r>
      <w:r>
        <w:t>https://mcp.opencaselaw.ch/entscheid/bvger_C-5773_2011</w:t>
      </w:r>
    </w:p>
    <w:p>
      <w:r>
        <w:t>FR: TAF C-5773/2011 du 3 mai 2012</w:t>
      </w:r>
    </w:p>
    <w:p>
      <w:r>
        <w:t>IT: TAF C-5773/2011 del 3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Gemäss Art. 60 Abs. 1 ATSG ist die Beschwerde innert 30 Tagen nach Eröffnung der Verfügung einzureichen. Die angefochtene Verfügung datiert vom 27. Juni 2011 und die Beschwerde wurde am 14. Oktober 2011 bei der spanischen Post aufgegeben. Wie sich nachfolgend zeigen wird, kann vorliegend offenbleiben, ob die Rechtsmittelfrist bereits mit der ersten, postalisch erfolgten Zustellung der angefochtenen Verfügung oder erst mit der zweiten, via den spanischen Versicherungsträger erfolgten Zustellung (vgl. dazu Art. 48 der Verordnung [EWG] Nr. 574/72 des Rates vom 21. März 1972 über die Durchführung der Verordnung [EWG] Nr. 1408/71 zur Anwendung der Systeme der sozialen Sicherheit auf Arbeitnehmer und deren Familien, die innerhalb der Gemeinschaft zu- und abwandern [nachfolgend: Verordnung Nr. 574/72]) zu laufen begann, erweist sich die Beschwerde doch in beiden Fällen als fristgerecht (vgl. zur Anwendbarkeit der Verordnung Nr. 574/72 E. 2.1 hiernach). Hinsichtlich der zweiten, via den spanischen Versicherungsträger erfolgten Zustellung gilt festzuhalten, dass die Beweislast für den Beginn der Frist bei der eröffnenden Behörde liegt (Ulrich Häfelin/Georg Müller/Felix Uhlmann, Allgemeines Verwaltungsrecht, 5. Aufl., Zürich/Basel/ Genf 2006, Rz. 1651). Demnach ist zu Gunsten des Beschwerdeführers davon auszugehen, dass ihm die angefochtene Verfügung entsprechend seinen unbestrittenen und glaubwürdigen Angaben am 7. Oktober 2011 vom spanischen Versicherungsträger zugestellt worden ist. Die vorliegende Beschwerde erfolgte somit innert 30 Tagen seit der zweiten, via den spanischen Versicherungsträger erfolgten Zustellung. Mit Schreiben vom 12. Juli 2011, mithin innert 30 Tagen seit der ersten, postalisch erfolgten Zustellung der angefochtenen Verfügung vom 27. Juni 2011, teilte A._______ der IVSTA mit, er habe die leistungsabweisende Verfügung erhalten. Weiter führte er aus, dass ihm der spanische Versicherungsträger eine vollständige Arbeitsunfähigkeit attestiert habe. Gleichzeitig reichte er den entsprechenden Bescheid des spanischen Versicherungsträgers zu den Akten. Daraus lässt sich klar ein Beschwerdewille erkennen, weshalb diese Eingabe des Beschwerdeführers als Beschwerde zu betrachten ist. Gemäss Art. 54 VwVG geht die Behandlung der Sache, die Gegenstand der mit Beschwerde angefochtenen Verfügung bildet, mit Einreichung der Beschwerde auf die Beschwerdeinstanz über (sog. Devolutiveffekt), weshalb die Vorinstanz die Befugnis verliert, sich mit der Sache zu befassen (vgl. Hansjörg Seiler, in: Praxiskommentar VwVG, Waldmann/Weissen­berger (Hrsg.), Zürich 2009, Art. 54 N 3). Die IVSTA hätte die Beschwerde des Beschwerdeführers vom 12. Juli 2011 demnach an das Bundesverwaltungsgericht als zuständige Beschwerdeinstanz weiterleiten müssen, was vorliegend nicht erfolgt ist.</w:t>
      </w:r>
    </w:p>
    <w:p>
      <w:r>
        <w:rPr>
          <w:b/>
        </w:rPr>
        <w:t>E. 1.5</w:t>
      </w:r>
    </w:p>
    <w:p>
      <w:r>
        <w:t>Da die Beschwerde im Übrigen formgerecht (Art. 52 VwVG) eingereicht und der Kostenvorschuss innert Frist geleistet wurde, ist darauf einzutreten.</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27. Juni 2011)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IVV ist auf die Fassung gemäss den am 1. Januar 2008 in Kraft getretenen Änderungen (5. IV-Revision; AS 2007 5129 und AS 2007 5155) abzustellen. Noch keine Anwendung findet vorliegend das am 1. Januar 2012 in Kraft getretene erste Massnahmenpaket der 6. IV-Revision (IVG in der Fassung vom 18. März 2011 [AS 2011 5659]).</w:t>
      </w:r>
    </w:p>
    <w:p>
      <w:r>
        <w:rPr>
          <w:b/>
        </w:rPr>
        <w:t>E. 3</w:t>
      </w:r>
    </w:p>
    <w:p>
      <w:r>
        <w:t>In formeller Hinsicht macht der Beschwerdeführer geltend, sein Anspruch auf rechtliches Gehör sei verletzt worden, da die Vorinstanz kein Vorbescheidverfahren durchgeführt habe und ihm daher verwehrt geblieben sei, die Verwaltungsakten einzusehen, Einwände vorzubringen und Beweismittel einzureichen.</w:t>
      </w:r>
    </w:p>
    <w:p>
      <w:r>
        <w:rPr>
          <w:b/>
        </w:rPr>
        <w:t>E. 3.1</w:t>
      </w:r>
    </w:p>
    <w:p>
      <w:r>
        <w:t>Gemäss Art. 29 Abs. 2 der Bundesverfassung der Schweizerischen Eidgenossenschaft vom 18. April 1999 (BV, SR 101)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Das Begründungsmass richtet sich im Weiteren nach der Eingriffsschwere, der Komplexität des Sachverhaltes und der rechtlichen Fragen, den Entscheidungsspielräumen und der Stellung der verfügenden Behörde (vgl. zum Ganzen Urs Müller, Das Verwaltungsverfahren in der Invalidenversicherung, Bern 2010, Rz. 1396 ff.).</w:t>
      </w:r>
    </w:p>
    <w:p>
      <w:r>
        <w:rPr>
          <w:b/>
        </w:rPr>
        <w:t>E. 3.2</w:t>
      </w:r>
    </w:p>
    <w:p>
      <w:r>
        <w:t>Im Bereich der Invalidenversicherung hat die Verwaltung - abgesehen von hier nicht massgeblichen Ausnahmen (vgl. BGE 134 V 97) - das rechtliche Gehör grundsätzlich im Vorbescheidverfahren (Art. 57a IVG) zu gewähren.</w:t>
      </w:r>
    </w:p>
    <w:p>
      <w:r>
        <w:rPr>
          <w:b/>
        </w:rPr>
        <w:t>E. 3.3</w:t>
      </w:r>
    </w:p>
    <w:p>
      <w:r>
        <w:t>Die Vorinstanz macht geltend, sie habe das Vorbescheidverfahren korrekt durchgeführt. Mit Schreiben vom 21. April 2011 sei dem Beschwerdeführer der Vorbescheid per Einschreiben an dessen Anschrift in Spanien eröffnet worden (vgl. act. 29). Da ihr dieses Schreiben nie retourniert worden sei, sei davon auszugehen, dass der Beschwerdeführer den Vorbescheid erhalten habe. Gleichzeitig räumt die Vorinstanz jedoch ein, der Nachweis der Zustellung des Vorbescheids könne nicht mehr erbracht werden, da seit dem Versanddatum mehr als sechs Monate vergangen seien. Der Beschwerdeführer bestreitet, den Vorbescheid von der IVSTA zugestellt erhalten zu haben. 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Der Untersuchungsgrundsatz schliesst die Beweislast im Sinne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Die IVSTA hat ihren Vorbescheid vom 21. April 2011 zwar per Einschreiben versandt. Da das Versanddatum jedoch mehr als sechs Monate zurück liegt, erweist sich der Zustellungsnachweis nach Praxis der schweizerischen Post in tatsächlicher Hinsicht als nicht mehr möglich. Hinzu kommt, dass aus den Akten kein widersprüchliches Verhalten des Beschwerdeführers ersichtlich ist. Daher ist zugunsten des Beschwerdeführers davon auszugehen, dass der im Übrigen nicht unterzeichnete Vorbescheid der IVSTA vom 21. April 2011 dem Beschwerdeführer nicht zugestellt wurde.</w:t>
      </w:r>
    </w:p>
    <w:p>
      <w:r>
        <w:rPr>
          <w:b/>
        </w:rPr>
        <w:t>E. 3.4</w:t>
      </w:r>
    </w:p>
    <w:p>
      <w:r>
        <w:t>Indem die IVSTA ohne Durchführung eines Vorbescheidverfahrens die Verfügung am 27. Juni 2011 erlassen hat, hat sie den Anspruch des Beschwerdeführers auf rechtliches Gehör in schwerwiegender Weise verletzt.</w:t>
      </w:r>
    </w:p>
    <w:p>
      <w:r>
        <w:rPr>
          <w:b/>
        </w:rPr>
        <w:t>E. 3.5</w:t>
      </w:r>
    </w:p>
    <w:p>
      <w:r>
        <w:t>Der Anspruch auf rechtliches Gehör ist formeller Natur. Dessen Verletzung führt ungeachtet der Erfolgsaussichten der Beschwerde in der Sache selbst zur Aufhebung der angefochtenen Verfügung (BGE 127 V 431 E. 3d/aa, BGE 126 I 19 E. 2d/bb).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3.6</w:t>
      </w:r>
    </w:p>
    <w:p>
      <w:r>
        <w:t>Angesichts der im vorliegenden Fall festgestellten besonders schweren Verletzung des rechtlichen Gehörs und mit Blick auf die Umstände, dass zum einen der Rechtsvertreter des Beschwerdeführers diesbezüglich eine Rückweisung beantragt, sowie dass zum anderen im Vorbescheidverfahren an das rechtliche Gehör erhöhte Anforderungen zu stellen sind und schliesslich vorliegend eine Rückweisung keineswegs als formalistischer Leerlauf zu qualifizieren ist, sondern zur ausreichenden Wahrung der Parteirechte erforderlich erscheint, kann die Gehörsverletzung vorliegend nicht geheilt werden (vgl. hierzu auch Urteil des Bundesverwaltungsgerichts C-6034/2009 vom 20. Januar 2010). Demnach ist die Beschwerde gutzuheissen, die Verfügung vom 27. Juni 2011 aufzuheben und die Sache zur Gewährung des rechtlichen Gehörs und anschliessenden Neubeurteilung an die Vorinstanz zurückzuweisen (Art. 61 Abs. 1 VwVG).</w:t>
      </w:r>
    </w:p>
    <w:p>
      <w:r>
        <w:rPr>
          <w:b/>
        </w:rPr>
        <w:t>E. 3.7</w:t>
      </w:r>
    </w:p>
    <w:p>
      <w:r>
        <w:t>Mit Blick auf den Verfahrensausgang kann vorliegend offen bleiben, ob auch eine Verletzung des rechtlichen Gehörs hinsichtlich der Akteneinsichtnahme vorliegt, weil der Beschwerdeführer bis dato keine Einsicht in die Akten der Vorinstanz hatte.</w:t>
      </w:r>
    </w:p>
    <w:p>
      <w:r>
        <w:rPr>
          <w:b/>
        </w:rPr>
        <w:t>E. 4</w:t>
      </w:r>
    </w:p>
    <w:p>
      <w:r>
        <w:t>Zu befinden bleibt noch über die Verfahrenskosten und eine allfällige Parteientschädigung.</w:t>
      </w:r>
    </w:p>
    <w:p>
      <w:r>
        <w:rPr>
          <w:b/>
        </w:rPr>
        <w:t>E. 4.1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sowie der zu viel bezahlte Betrag von Fr. 10.- dem Beschwerdeführer auf ein von ihm anzugebendes Konto zurückzuerstatten ist. Der Vorinstanz werden keine Verfahrenskosten auferlegt (Art. 63 Abs. 2 VwVG).</w:t>
      </w:r>
    </w:p>
    <w:p>
      <w:r>
        <w:rPr>
          <w:b/>
        </w:rPr>
        <w:t>E. 4.2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1'500.-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