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C-5769/2007 vom 24. November 2008</w:t>
      </w:r>
    </w:p>
    <w:p>
      <w:r>
        <w:t>Bundesverwaltungsgericht, 2008-11-24, DE</w:t>
      </w:r>
    </w:p>
    <w:p>
      <w:r>
        <w:rPr>
          <w:b/>
        </w:rPr>
        <w:t xml:space="preserve">Quelle: </w:t>
      </w:r>
      <w:r>
        <w:t>https://mcp.opencaselaw.ch/entscheid/bvger_C-5769_2007</w:t>
      </w:r>
    </w:p>
    <w:p>
      <w:r>
        <w:t>FR: TAF C-5769/2007 du 24 novembre 2008</w:t>
      </w:r>
    </w:p>
    <w:p>
      <w:r>
        <w:t>IT: TAF C-5769/2007 del 24 novembre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 sind gemäss Art. 48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ANAG, Art. 9 Abs. 1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w:t>
      </w:r>
    </w:p>
    <w:p>
      <w:r>
        <w:rPr>
          <w:b/>
        </w:rPr>
        <w:t>E. 3.3</w:t>
      </w:r>
    </w:p>
    <w:p>
      <w:r>
        <w:t>Die Zuständigkeit des BFM für die Visumerteilung richtet sich nach Art. 18 VEA.</w:t>
      </w:r>
    </w:p>
    <w:p>
      <w:r>
        <w:rPr>
          <w:b/>
        </w:rPr>
        <w:t>E. 4.1</w:t>
      </w:r>
    </w:p>
    <w:p>
      <w:r>
        <w:t>Die Gesuchstellerin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Gesuchstellerin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 (Tendenz steigend). Der Zuwanderungsdruck aus dieser Region ist dementsprechend hoch, was sich auch in der schweizerischen Asylstatistik widerspiegelt. So stammten im Jahre 2007 9.2 % der Asylsuchenden aus Serbien (inklusive Kosovo) und diese Region steht damit in der Statistik der Asylgesuche nach Nationen an zweiter Stelle. Die diesbezügliche Situation hat sich seither nur marginal verändert (laut der letzten Asylstatistik vom 6. Oktober 2008 wurden von Januar bis September 2008 8,8 % der Asylgesuch von Staatsangehörigen aus Serbien und dem Kosovo eingereicht, was für das laufende Jahr Rang 4 und für das 3. Quartal 2008 Rang 3 der Herkunftsländer von Asylsuchenden ergibt).</w:t>
      </w:r>
    </w:p>
    <w:p>
      <w:r>
        <w:rPr>
          <w:b/>
        </w:rPr>
        <w:t>E. 4.5</w:t>
      </w:r>
    </w:p>
    <w:p>
      <w:r>
        <w:t>In Anbetracht der seit längerem schwierigen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5.1</w:t>
      </w:r>
    </w:p>
    <w:p>
      <w:r>
        <w:t>Bei der Gesuchstellerin handelt es sich um eine 46-jährige, unverheiratete Frau, welche mit ihrem älteren Bruder und dessen Familie in Hausgemeinschaft lebt (vgl. UNMIK-Bestätigung vom 28. Mai 2007). Auf den ersten Blick könnte der Umstand, dass sie für die Dauer ihres Besuchsaufenthaltes in der Schweiz die fraglichen Verwandten in der Heimat zurücklassen würde, durchaus für eine gewisse Verwurzelung sprechen. Andererseits zeigt die Erfahrung, dass zurückbleibende Angehörige gerade in Situationen angespannter wirtschaftlicher Verhältnisse nicht verlässlich davon abhalten können, den Entschluss für eine Emigration zu fällen. Im Gegenteil; der Entscheid kann dabei von der Hoffnung getragen sein, die Verwandten aus dem Ausland effizienter unterstützen zu können.</w:t>
      </w:r>
    </w:p>
    <w:p>
      <w:r>
        <w:rPr>
          <w:b/>
        </w:rPr>
        <w:t>E. 5.2</w:t>
      </w:r>
    </w:p>
    <w:p>
      <w:r>
        <w:t>Entsprechend grosse Bedeutung kommt deshalb den wirtschaftlichen Verhältnissen zu, in denen sich die Eingeladene befindet. Als Hausfrau geht sie keiner geregelten Erwerbstätigkeit nach und ist beruflich nicht in der Arbeitswelt integriert. Die Beschwerdeführer, die die Vermögensverhältnisse der Gesuchstellerin weder im vorinstanzlichen Verfahren noch auf Beschwerdeebene offen legten, machen denn auch nicht geltend, ihre Schwester bzw. Schwägerin lebe in wirtschaftlich günstigen Verhältnissen. Insofern darf bezweifelt werden, dass der Eingeladenen im Heimatland zwingende Verpflichtungen obliegen, die sie ernsthaft von einer Emigration abzuhalten vermöchten, zumal sie mit den Beschwerdeführern und ihren Kindern, alle inzwischen eingebürgert, bereits über wichtige Bezugspersonen in der Schweiz verfügt. Die Beschwerdeführer betonen denn auch in diesem Zusammenhang die enge Beziehung zur Gesuchstellerin.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der Gesuchstellerin gut vertraut ist und sich somit durchaus ein Bild der Einreisewilligen machen kann, grosse Bedenken bezüglich der anstandslosen Wiederausreise.</w:t>
      </w:r>
    </w:p>
    <w:p>
      <w:r>
        <w:rPr>
          <w:b/>
        </w:rPr>
        <w:t>E. 5.3</w:t>
      </w:r>
    </w:p>
    <w:p>
      <w:r>
        <w:t>Nach dem Gesagten durfte die Vorinstanz daher zu Recht davon ausgehen, die Wiederausreise der Eingeladenen sei im Sinne der massgeblichen Bestimmungen nicht gesichert. An der Richtigkeit dieser Einschätzung ändert auch die Tatsache nichts, dass die Beschwerdeführer die rechtzeitige Rückkehr der Gesuchstellerin zugesichert haben,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C-6493/2007 vom 9. Juni 2008 E. 5.3). Der (durchaus verständliche) Wunsch der Beschwerdeführer, der Eingeladenen ihr Lebensumfeld in der Schweiz zeigen und sich für erwiesene Hilfeleistungen gegenüber nahen Verwandten revanchieren zu können, hat demnach in den Hintergrund zu treten. Es ist nicht ernsthaft zu bezweifeln, dass die familiäre Beziehung - zu gegebener Zeit - durch Besuche im Kosovo gepflegt werden kann.</w:t>
      </w:r>
    </w:p>
    <w:p>
      <w:r>
        <w:rPr>
          <w:b/>
        </w:rPr>
        <w:t>E. 6</w:t>
      </w:r>
    </w:p>
    <w:p>
      <w:r>
        <w:t>Aus den dargelegten Gründen ist somit nicht zu beanstanden, dass die Vorinstanz das öffentliche Interesse sowie die Beachtung der geltenden Bestimmungen entsprechend gewichtete und der Gesuchstellerin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werden die unterliegenden Beschwerdeführer kostenpflichtig (Art. 63 Abs. 1 VwVG). Die Verfahrenskosten sind auf Fr. 600.- festzusetzen (Art. 1, Art. 2 und Art. 3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