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C-5759/2013 vom 3. Januar 2014</w:t>
      </w:r>
    </w:p>
    <w:p>
      <w:r>
        <w:t>Bundesverwaltungsgericht, 2014-01-03, DE</w:t>
      </w:r>
    </w:p>
    <w:p>
      <w:r>
        <w:rPr>
          <w:b/>
        </w:rPr>
        <w:t xml:space="preserve">Quelle: </w:t>
      </w:r>
      <w:r>
        <w:t>https://mcp.opencaselaw.ch/entscheid/bvger_C-5759_2013</w:t>
      </w:r>
    </w:p>
    <w:p>
      <w:r>
        <w:t>FR: TAF C-5759/2013 du 3 janvier 2014</w:t>
      </w:r>
    </w:p>
    <w:p>
      <w:r>
        <w:t>IT: TAF C-5759/2013 del 3 gennaio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Der angefochtenen Verfügung liegt das Gesuch einer thailändischen Staatsangehörigen um Erteilung eines Visums für einen 90tägigen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Bürger von Drittstaaten dürfen über die Aussengrenzen des Schen­gen-Raums für einen Aufenthalt von höchstens 90 Tagen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Aufgrund ihrer thailändischen Staatsangehörigkeit unterliegt die Gesuchstellerin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 5.2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6.1 Trotz der grundsätzlich positiven wirtschaftlichen Entwicklung in Thailand sind dort nach wie vor breite Bevölkerungsschichten von kargen ökonomischen und sozialen Lebensbedingungen betroffen. Zu berücksichtigen gilt insbesondere, dass die Gesuchstellerin aus der Provinz Maha Sarakham im Nordosten Thailands stammt. Dieses Gebiet gilt im landesweiten Vergleich als ärmstes von insgesamt sechs Regionen (vgl. http://www.thaiwebsites.com/thailand-GDP.asp, besucht im Dezember 2013). Wie bereits die Vorinstanz ausgeführt hat, sind in Thailand insbesondere Frauen vom Druck zur wirtschaftlichen Existenzsicherung ganz besonders betroffen.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&gt; Drucksachen; zu den wirtschaftlichen Eckdaten allgemein vgl. Staatssekretariat für Wirtschaft &gt; Themen &gt; Aus­senwirtschaft &gt; Länderinformationen &gt; Asien/Ozeanien &gt; Thailand, http://www.seco.admin.ch&gt;, Stand: November 2013, besucht im Dezember 2013). Im Falle der Schweiz wird die Tendenz zur Immigration erfahrungs­ge­mäss dort noch begünstigt, wo durch die Anwesenheit von Verwandten, Freunden oder eines Lebenspartners bereits ein minimales soziales Beziehungsnetz besteht. 6.2 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Diese Vorgehensweise - die Berücksichtigung der allgemeinen Situation im Herkunftsland und der persönlichen Lebensumstände - dient gerade der Verhinderung einer pauschalen Beurteilung, welche ergäbe, dass sämtlichen Personen, die aus wirtschaftlich ungünstigen Verhältnissen stammen, der Wille zur Emigration unterstellt würde (vgl. Beschwerde vom 11. Oktober 2013, S. 6). 7.1 Bei der Gesuchstellerin handelt es sich um eine 39-jährige, geschiedene Mutter dreier Kinder. Beschwerdeweise wird geltend gemacht, ihre zwei Söhne seien in Bangkok wohnhaft und bereits berufstätig. Die 7-jährige Tochter lebe bei ihren Grosseltern. Entgegen der Meinung der Vorinstanz bestünde hingegen eine enge familiäre Beziehung. Für die Gesuchstellerin sei es denn auch unmöglich, in die Schweiz zu emigrieren, zumal in Thailand keine obligatorische Altersvorsorge bestehe und die Kinder sich um ihre Eltern kümmern und sie unterstützen müssten. Die Gesuchstellerin komme diesen Pflichten in regelmässigen Abständen nach. Längerfristig beabsichtige sie auch die Aufnahme ihrer Tochter. Es sei für sie zudem unvorstellbar, ihrem Kind eine schulische Ausbildung ausserhalb Thailand zukommen zu lassen, zumal sie darauf Wert lege, dass bei ihrer Tochter die thailändische Kultur, die Sprache und das buddhistische Wertesystem nicht verloren gehe. Sie pflege zudem einen sehr engen und telefonischen Kontakt zu ihren Söhnen. Obwohl die Gesuchstellerin Mutter dreier Kinder ist, kann vorliegend - entgegen den beschwerdeweisen Vorbringen - nicht auf eine starke familiäre Einbindung ihrerseits geschlossen werden. Ihre beiden Söhne leben nicht mehr im gleichen Haushalt wie sie und sind durch ihre Berufstätigkeit finanziell unabhängig. Der enge und telefonische Kontakt mit ihnen kann ohne weiteres auch aus dem Ausland erfolgen. Ebenso ist die 7-jährige Tochter nicht auf die persönliche Betreuung durch die Gesuchstellerin angewiesen, lebt diese doch bei ihren Grosseltern und kann folglich dort auch die Schule besuchen, zumal die Gesuchstellerin auf den Besuch einer thailändischen Schule Wert legt. Vor diesem Hintergrund ist davon auszugehen, dass die in der Beschwerde beschriebenen Pflichten der Gesuchstellerin, sich um die Eltern zu kümmern und sie zu unterstützen, rein finanzieller Natur sind. Jene sind jedoch gerade nicht geeignet, von einer Emigration ins Ausland abzuhalten. Im Gegenteil, ist damit doch oft die Hoffnung verbunden, die Zurückgebliebenen aus dem Ausland sogar noch effizienter unterstützen zu können. Es sind somit in casu keine persönlichen Verpflichtungen ersichtlich, welche die Gesuchstellerin daran hindern könnten, ins Ausland zu emigrieren. Daran kann auch der lediglich pauschal vorgebrachte Einwand des Beschwerdeführers nichts ändern, die Gesuchstellerin beabsichtige, die längerfristige Aufnahme ihrer Tochter (vgl. Beschwerde vom 11. Oktober 2013, S. 5, Replik vom 29. November 2013, S. 3). 7.2 Der Beschwerdeführer macht in wirtschaftlicher Hinsicht geltend, sein Gast sei in Thailand in einem Restaurant im Service angestellt. Damit verdiene die Gesuchstellerin ihren Lebensunterhalt. Aus dem Umstand, dass sie drei Monate von ihrer Arbeit fernbliebe, könne hingegen nichts abgeleitet werden. Im Gegenteil, spreche doch die Tatsache, dass die Arbeitgeberin ihrer Angestellten einen längeren Urlaub gestatte, von der Ernsthaftigkeit des Arbeitsvertrags. Die Gesuchstellerin werde von ihrer Arbeitgeberin sehr geschätzt und es sei nicht die Rede von der Auflösung des Arbeitsvertrags, nur weil sie Ferien in der Schweiz verbringe. Ein illegaler Weiteraufenthalt in der Schweiz würde für die Gesuchstellerin bedeuten, dass sie ihre Arbeitsstelle in Thailand verlieren würde. Sie würde somit ihre gesamte Existenz aufs Spiel setzen, da sie ohne gültige Aufenthaltsbewilligung in der Schweiz keine Arbeit finden würde. Diesbezüglich gilt es darauf hinzuweisen, dass in den Akten keine Dokumente bezüglich Art und Dauer des Arbeitsverhältnisses vorzufinden sind. Angaben bezüglich Einkommen fehlen gänzlich. So wurden weder ein Arbeitsvertrag noch eine Bestätigung der Arbeitgeberin eingereicht. Replikweise wird geltend gemacht, das Arbeitsverhältnis basiere nicht auf einem schriftlichen Vertrag. Das Arbeitspensum schwanke saisonal und das Salär sei dementsprechend nicht regelmässig gleich hoch. Es könne dem Beschwerdeführer bzw. der Gesuchstellerin nicht zugemutet werden, unverhältnismässige Aufwände zu unternehmen, um Unterlagen einzureichen, die nicht existierten und nachträglich lediglich unter erschwerten Bedingungen beschafft werden könnten. Nicht nachvollziehbar ist aber in diesem Zusammenhang, wieso (zumindest) eine Arbeitsbestätigung bei der Arbeitgeberin sowie konkrete Angaben über das Einkommen (z.B. Aufstellung der monatlichen Einnahmen und Ausgaben, Bankbelege usw.) nur unter erschwerten Bedingungen erhältlich gemacht werden können. Von einem unverhältnismässigen Aufwand zur Beschaffung dieser Unterlagen kann denn auch keine Rede sein (zur Mitwirkungspflicht im Allgemeinen siehe Art. 13 VwVG sowie Urteil des Bundesverwaltungsgerichts C-3710/2010 vom 7. Oktober 2010 E. 7.3). Dies spricht gerade nicht für die Ernsthaftigkeit des angeblichen Arbeitsverhältnisses. Kommt hinzu, dass im Visumantrag vom 27. Mai 2013 die Gesuchstellerin lediglich ausführte, sie sei angestellt (Frage 19 ["derzeitige berufliche Tätigkeit"]), eine Anschrift des Arbeitsgebers hingegen nicht genannt wurde (vgl. Visumantrag Frage 20 ["Anschrift und Telefonnummer des Arbeitsgebers"]). Auch aus den weiteren Akten geht der Name und die Adresse des Arbeitsgebers nicht hervor. Lediglich sehr pauschal wird darauf verwiesen, dass die Gesuchstellerin in einem Restaurant arbeite (vgl. Einladungsschreiben des Beschwerdeführers vom 27. Mai 2013; Fragebogen der Einwohnergemeinde B._______). Hinzuweisen gilt es auch auf den Umstand, dass die Schweizerische Vertretung in Bangkok in einer schriftlichen Stellungnahme an das BFM vom 15. Juli 2013 ausführte, die Gesuchstellerin sei arbeitslos. Vor diesem Hintergrund ist es der Vorinstanz nicht vorzuwerfen, wenn sie davon ausgegangen ist, die Gesuchstellerin lebe zumindest in wirtschaftlich nicht vorteilhaften Verhältnissen. Auf dieser Grundlage kann die Wiederausreise der Gesuchstellerin nicht als gesichert eingestuft werden. 7.3 Vor dem allgemeinen und persönlichen Hintergrund durfte die Vorinstanz demnach davon ausgehen, dass keine hinreichende Gewähr für eine fristgerechte und anstandslose Wiederausreise der Gesuchstellerin nach ihrem Besuchsaufenthalt besteht. Zwar lässt sich diese Prognose nicht zu einer gesicherten Feststellung verdichten; sie genügt jedoch, um die Erteilung einer Einreisebewilligung, auf welche ohnehin kein Rechtsanspruch besteht, abzulehnen.</w:t>
      </w:r>
    </w:p>
    <w:p>
      <w:r>
        <w:rPr>
          <w:b/>
        </w:rPr>
        <w:t>E. 8</w:t>
      </w:r>
    </w:p>
    <w:p>
      <w:r>
        <w:t>An der Richtigkeit dieser Einschätzung ändert auch die Tatsache nichts, dass der Beschwerdeführer alle Voraussetzungen als Gastgeber erfüllt, seine finanziellen Verhältnisse bis ins Detail dargelegt hat und auch wiederholt für die fristgerechte Wiederausreise seines Gastes gebürgt hat. Es wird denn auch nicht die Integrität des Beschwerdeführers in seiner Eigenschaft als Gastgeber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wie dies in casu geschehen ist (vgl. Unterhaltsgarantie vom 2. September 2013), lediglich für gewisse finanzielle Risiken (Kosten wie Unterkunft, Verpflegung, Arzt, Spital, Rückreise usw.) Garantie leisten, nicht aber - mangels rechtlicher und faktischer Durchsetzbarkeit - für ein be­stimmtes Verhalten des Gastes (vgl. BVGE 2009/27 E. 9). Selbst das Vorbringen, es sei ein gemeinsamer Rückflug des Gastgebers und der Gesuchstellerin nach Thailand geplant, ist dafür nicht geeignet (siehe Beschwerde vom 11. Oktober 2013, S. 5f).</w:t>
      </w:r>
    </w:p>
    <w:p>
      <w:r>
        <w:rPr>
          <w:b/>
        </w:rPr>
        <w:t>E. 9</w:t>
      </w:r>
    </w:p>
    <w:p>
      <w:r>
        <w:t>Beschwerdeweise wird ferner geltend gemacht, dem Paar sei hoch anzurechnen, dass es nicht direkt heiraten wolle und stattdessen die Gesuchstellerin als Touristin in die Schweiz einreisen möchte. Dieses Vorbringen kann jedoch vorliegend nicht berücksichtigt werden, richten sich doch Einreisegesuche zwecks Eheabschluss nach eigenen Verfahren mit besonderen Zuständigkeiten (vgl. Art. 10 und 17 AuG bzw. Art. 42 AuG; vgl. auch Urteil des Bundesverwaltungsgerichts C-6726/2010 vom 18. Januar 2011 E. 9.2). Vorliegend wurde ein Visum für einen befristeten Besuchsaufenthalt beantragt, weshalb die Erteilung zwingend an eine fristgerechte Wiederausreise geknüpft ist. Kann hierfür keine Gewähr geboten werden, darf das beantragte Visum nicht erteilt werden.</w:t>
      </w:r>
    </w:p>
    <w:p>
      <w:r>
        <w:rPr>
          <w:b/>
        </w:rPr>
        <w:t>E. 10</w:t>
      </w:r>
    </w:p>
    <w:p>
      <w:r>
        <w:t>Vor dem aufgezeigten Hintergrund durfte die Vorinstanz demnach davon ausgehen, dass keine hinreichende Gewähr für eine fristgerechte und anstandslose Wiederausreise der Gesuchstellerin nach einem Besuchsaufenthalt besteht. Mit der fehlenden Gewähr für eine anstandslose Wiederausreise ist eine zwingende Voraussetzung zur Erteilung eines Schengen-Visums nicht erfüllt. Gründe für die Ausstellung eines Visums mit räumlich beschränkter Gültigkeit (vgl. dazu Ziffer 4.5 hiervor) werden nicht vorgebracht und liegen auch nicht vor.</w:t>
      </w:r>
    </w:p>
    <w:p>
      <w:r>
        <w:rPr>
          <w:b/>
        </w:rPr>
        <w:t>E. 11</w:t>
      </w:r>
    </w:p>
    <w:p>
      <w:r>
        <w:t>Aus vorstehenden Erwägungen folgt, dass die angefochtene Verfügung im Lichte von Art. 49 VwVG nicht zu beanstanden ist. Die Beschwerde ist daher abzuweisen.</w:t>
      </w:r>
    </w:p>
    <w:p>
      <w:r>
        <w:rPr>
          <w:b/>
        </w:rPr>
        <w:t>E. 12</w:t>
      </w:r>
    </w:p>
    <w:p>
      <w:r>
        <w:t>Entsprechend dem Ausgang des Verfahrens wird der unter­liegende Be­schwerdeführer kostenpflichtig (Art. 63 Abs. 1 VwVG). Die Ver­fahrenskos­ten sind auf Fr. 800.- festzusetzen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