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C-5752/2008 vom 26. Mai 2011</w:t>
      </w:r>
    </w:p>
    <w:p>
      <w:r>
        <w:t>Bundesverwaltungsgericht, 2011-05-26, FR</w:t>
      </w:r>
    </w:p>
    <w:p>
      <w:r>
        <w:rPr>
          <w:b/>
        </w:rPr>
        <w:t xml:space="preserve">Quelle: </w:t>
      </w:r>
      <w:r>
        <w:t>https://mcp.opencaselaw.ch/entscheid/bvger_C-5752_2008</w:t>
      </w:r>
    </w:p>
    <w:p>
      <w:r>
        <w:t>FR: TAF C-5752/2008 du 26 mai 2011</w:t>
      </w:r>
    </w:p>
    <w:p>
      <w:r>
        <w:t>IT: TAF C-5752/2008 del 26 maggio 2011</w:t>
      </w:r>
    </w:p>
    <w:p>
      <w:pPr>
        <w:pStyle w:val="Heading2"/>
      </w:pPr>
      <w:r>
        <w:t>Regeste</w:t>
      </w:r>
    </w:p>
    <w:p>
      <w:r>
        <w:t>Assurance-invalidité (AI)</w:t>
      </w:r>
    </w:p>
    <w:p>
      <w:pPr>
        <w:pStyle w:val="Heading2"/>
      </w:pPr>
      <w:r>
        <w:t>Erwägungen</w:t>
      </w:r>
    </w:p>
    <w:p>
      <w:r>
        <w:rPr>
          <w:b/>
        </w:rPr>
        <w:t>E. 1.1</w:t>
      </w:r>
    </w:p>
    <w:p>
      <w:r>
        <w:t>Le Tribunal connaît des recours interjetés par les personnes résidant à l'étranger contre les décisions de l'OAIE concernant l'octroi de rente d'invalidité (cf. art. 31 et 33 let. d de la loi sur le Tribunal administratif fédéral [LTAF, RS 173.32] et art. 69 al. 1 let. b de la loi sur l'assurance-invalidité [LAI, RS 831.20]). Demeurent réservées les exceptions - non réalisées en l'espèce - prévues à l'art. 32 LTAF.</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37 LTAF en relation avec l'art. 3 let. dbis PA). Cette dernière s'applique à l'assurance-invalidité (art. 1a à 26bis et 28 à 70), à moins que la LAI n'y déroge pas (art. 1 al. 1 LAI).</w:t>
      </w:r>
    </w:p>
    <w:p>
      <w:r>
        <w:rPr>
          <w:b/>
        </w:rPr>
        <w:t>E. 1.3</w:t>
      </w:r>
    </w:p>
    <w:p>
      <w:r>
        <w:t>X._______ est légitimé à recourir contre la décision AI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Les dispositions de la LPGA sont applicables en matière d'assurance-invalidité si et dans la mesure où la LAI le prévoit (art. 2 LPGA et art. 1 al. 1 LAI).</w:t>
      </w:r>
    </w:p>
    <w:p>
      <w:r>
        <w:rPr>
          <w:b/>
        </w:rPr>
        <w:t>E. 4.2</w:t>
      </w:r>
    </w:p>
    <w:p>
      <w:r>
        <w:t>S'agissant du droit applicable dans le temps, il convient de préciser que les modifications de la 5ème révision AI entrées en vigueur le 1er janvier 2008 ne sont pas déterminantes dans le cas d'espèce eu égard au principe selon lequel les règles applicables sont celles en vigueur au moment où les faits juridiquement décisifs se sont produits (ATF 130 V 445 consid. 1.2). Le présent arrêt fait donc référence aux dispositions en vigueur jusqu'au 31 décembre 2007.</w:t>
      </w:r>
    </w:p>
    <w:p>
      <w:r>
        <w:rPr>
          <w:b/>
        </w:rPr>
        <w:t>E. 5</w:t>
      </w:r>
    </w:p>
    <w:p>
      <w:r>
        <w:t>Pour avoir droit à une rente de l'assurance invalidité suisse tout requérant doit remplir cumulativement les conditions suivantes: - être invalide au sens de la LPGA/LAI et - avoir versé des cotisations à l'AVS/AI durant au moins une année (art. 36 LAI en vigueur jusqu'au 31 décembre 2007). En l'occurrence, le recourant qui a travaillé pendant de nombreuses années en Suisse remplit la condition liée à la durée minimale de cotisations. Il reste dès lors à examiner s'il est invalide au sens de la LAI.</w:t>
      </w:r>
    </w:p>
    <w:p>
      <w:r>
        <w:rPr>
          <w:b/>
        </w:rPr>
        <w:t>E. 6.1</w:t>
      </w:r>
    </w:p>
    <w:p>
      <w:r>
        <w:t>X._______ est retourné vivre au Portugal après avoir été licencié par son employeur qui n'a pas pu lui offrir un travail adapté à son état de santé. Le recourant nie être en mesure de reprendre une activité lucrative, le médecin du Ministère portugais de la Santé lui ayant attesté une incapacité permanente de 55% selon la table nationale d'incapacité. Il demande à obtenir une rente AI adaptée à son état de santé. L'OAIE de son côté soutient que le recourant est, en dépit de ses problèmes de santé, encore en mesure d'exercer à plein temps une activité de substitution dans des travaux légers et adaptés, de sorte qu'il ne peut pas se prévaloir d'une perte de gain suffisante pour ouvrir le droit à une rente AI.</w:t>
      </w:r>
    </w:p>
    <w:p>
      <w:r>
        <w:rPr>
          <w:b/>
        </w:rPr>
        <w:t>E. 6.2</w:t>
      </w:r>
    </w:p>
    <w:p>
      <w:r>
        <w:t>A titre liminaire, il sied de rappeler au recourant que le degré d'invalidité d'un assuré qui prétend à une rente de l'assurance-invalidité suisse est déterminé exclusivement d'après le droit suisse (cf. supra consid. 3.1). Partant, les décisions prises par la sécurité sociale portugaise ne lient pas les autorités suisse.</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aussi relever d'une autre profession ou d'un autre domaine d'activité (art. 6 LPGA). Selon l'assurance-invalidité suisse, la notion d'invalidité est de nature juridique-économique et non médicale (ATF 116 V 246 consid. 1b). Seules les pertes économiques liées à une atteinte à la santé sont assurées. Ainsi le taux d'invalidité ne se confond pas nécessairement avec le taux d'incapacité de travail déterminé par le médecin. L'invalidité n'est pas non plus déterminée selon des tables d'incapacité (appréciation médico-théorique).</w:t>
      </w:r>
    </w:p>
    <w:p>
      <w:r>
        <w:rPr>
          <w:b/>
        </w:rPr>
        <w:t>E. 7.2</w:t>
      </w:r>
    </w:p>
    <w:p>
      <w:r>
        <w:t>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Toutefois, les rentes correspondant à un degré d'invalidité inférieur à 50% ne sont versées qu'aux assurés qui ont leur domicile et leur résidence habituelle en Suisse (art. 28 al. 1ter LAI dans sa teneur antérieure au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X._______ souffre d'altérations dégénératives de la colonne cervicale et lombaire et de l'articulation du coude droit. Etant donné qu'il ne s'agit pas d'un état de santé stable, seule peut entrer en considération la let. b de l'art. 29 al. 1 LAI prévoyant une période d'attente d'une année à partir du début de l'incapacité de travail relevante pour la détermination du début du droit à la rente.</w:t>
      </w:r>
    </w:p>
    <w:p>
      <w:r>
        <w:rPr>
          <w:b/>
        </w:rPr>
        <w:t>E. 8.1</w:t>
      </w:r>
    </w:p>
    <w:p>
      <w:r>
        <w:t>Afin d'être en mesure de déterminer le degré d'invalidité, l'art. 69 du règlement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Selon une jurisprudence constante,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114 V 310 consid. 3c; RCC 1991 p. 329 consid. 1c).</w:t>
      </w:r>
    </w:p>
    <w:p>
      <w:r>
        <w:rPr>
          <w:b/>
        </w:rPr>
        <w:t>E. 8.3</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Dans le cas d'espèce, il est établi que l'assuré souffre depuis 2006 d'altération dégénérative de la colonne cervicale et lombaire et de l'articulation du coude droit. Ce diagnostic repose sur les résultats d'examens radiologiques, d'électromyogrammes et de TDM entrepris en 2006 et 2007 (AI pces 16, 20, 22 à 25) et sur les rapports médicaux du Dr J._______ des 7 août et 9 novembre 2007 (AI pces 26 à 29), de la Dresse K._______ de l'ISS du 16 novembre 2007 (AI pce 30) et du Dr L._______ de l'OAIE du 17 avril 2008 (AI pce 32). Des défaillances neurologiques ont été observées passagèrement (lettre du Dr D._______ du 13 mars 2006 [TAF pce 7 annexes], rapport de la Dresse Dr B._______ du 23 mars 2006 [AI pce 15] et prise de position du Dr L._______ du 17 avril 2008 [AI pce 32]; des compressions radiculaires n'ont pas pu être objectivées, mais ont quelque fois été indiquées comme possibles (rapports de la TDM signés par le Dr H._______ les 29 juin 2007 et le 23 janvier 2009 [AI pce 24 et TAF pce 14 annexes]). Les résultats des examens médicaux entrepris en 2009 (TAF pces 14 annexes) n'apportent pas d'éléments nouveaux quant au diagnostic des problèmes de santé du recourant. Sur la base de ce dossier médical complet, le Dr L._______ de l'OAIE a déterminé le 17 avril 2008 une incapacité de travail dans l'activité habituelle de 100% du 21 février 2006 jusqu'au 3 septembre 2006 et de 50% dès le 4 septembre 2006. Par contre, la capacité de travail du recourant est entière dans une activité adaptée. Une liste d'activités professionnelles respectant ces exigences est dressée (AI pce 32). Le Dr L._______ a confirmé son appréciation les 7 août 2008 et 10 mars 2009 (AI pces 41 et 45) sur la base des nouveaux documents produits par le recourant. L'autorité de céans n'a pas de motifs de s'écarter des conclusions convaincantes du médecin de l'OAIE, reposent-elles donc sur l'étude attentive et sur l'analyse approfondi des documents médicaux versés au dossier. L'évaluation de la Dresse K._______, médecin de l'ISS, qui suite à l'expertise du 16 novembre 2007 a estimé que l'assuré ne présente pas d'incapacité permanente dans sa dernière activité (AI pce 30), est moins favorable à l'assuré. Le Dr J._______ de sa part, dans ses rapports des 7 août et 9 novembre 2007, ne se prononce pas sur la capacité de travail du recourant dans une activité adaptée (AI pces 26 à 29). Il juge que l'assuré présente une incapacité permanente et définitive en tant qu'aide-boucher. Or en Suisse, l'invalidité se distingue de l'incapacité professionnelle, c'est-à-dire l'incapacité à travailler dans sa profession habituelle. Si la personne assurée est en mesure d'exercer une autre activité raisonnablement exigible sans subir une perte de gain importante, elle n'est pas réputée invalide au sens de la loi suisse (chiffre 1021 de la Circulaire sur l'invalidité et l'impotence dans l'assurance-invalidité, CIIAI). Le Tribunal ne pourra pas non plus retenir l'attestation du 14 avril 2009 de la Dresse O._______, médecin du Ministère de la Santé portugais, qui certifie un taux d'incapacité permanente et globale de 55% selon la table nationale d'incapacité (TAF pce 19 annexes). Cette table, approuvée par la loi portugaise n° 352/2007 du 23 octobre, fixe l'invalidité d'après les limitations fonctionnelles d'une personne atteinte d'un problème de santé. Cependant, en Suisse seules les pertes économiques liées à une atteinte à la santé sont assurées et l'invalidité n'est pas déterminée selon des tables d'incapacité (cf. consid. 7.1 ci-dessus). Il appartient au médecin de décrire les activités que l'on peut encore raisonnablement attendre de l'assuré compte tenu de ses atteintes à la santé, en exposant les motifs qui le conduisent à retenir telle ou telle limitation de la capacité de travail (cf. consid. 8.2 ci-dessus). Partant, les rapports du Dr J._______ et l'attestation de la Dresse O._______ n'ont pas de valeur probante déterminée par la jurisprudence. Au vue de ce qui précède, le Tribunal est amené à constater que l'assuré souffre d'altération dégénérative du rachis cervical et lombaire et de l'articulation du coude droit. Il a présenté une incapacité de travail de 100% du 21 février au 3 septembre 2006. Mais, à partir du 4 septembre 2006, il a une capacité de travail entière dans des activités de substitution légères qui n'impliquent pas de travail au-dessus de la tête.</w:t>
      </w:r>
    </w:p>
    <w:p>
      <w:r>
        <w:rPr>
          <w:b/>
        </w:rPr>
        <w:t>E. 10</w:t>
      </w:r>
    </w:p>
    <w:p>
      <w:r>
        <w:t>Il convient encore de déterminer le taux d'invalidité du recourant au terme du délai d'attente d'une année qui a débuté le 21 février 2006.</w:t>
      </w:r>
    </w:p>
    <w:p>
      <w:r>
        <w:rPr>
          <w:b/>
        </w:rPr>
        <w:t>E. 10.1</w:t>
      </w:r>
    </w:p>
    <w:p>
      <w:r>
        <w:t>L'invalidité est évaluée en comparant le revenu que l'assuré aurait pu obtenir s'il n'était pas invalide (revenu sans invalidité) avec le revenu qu'il pourrait obtenir en exerçant une activité qui peut raisonnablement être exigée de lui après les traitements et les mesures de réadaptation, sur un marché de travail équilibré (revenu d'invalide). C'est la méthode ordinaire de comparaison des revenus (art. 16 LPGA en corrélation avec l'art. 28 al. 2 LAI dans sa teneur en vigueur jusqu'au 31 décembre 2007).</w:t>
      </w:r>
    </w:p>
    <w:p>
      <w:r>
        <w:rPr>
          <w:b/>
        </w:rPr>
        <w:t>E. 10.2</w:t>
      </w:r>
    </w:p>
    <w:p>
      <w:r>
        <w:t>Le revenu sans invalidité correspond au revenu que la personne valide aurait effectivement pu réaliser au degré de la vraisemblance prépondérante si elle était en bonne santé (ATF 129 V 222 consid. 4.3.1). Il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Quant au revenu d'invalide, il peut être évalué sur la base des statistiques salariales en l'absence d'un revenu effectivement réalisé après la survenance de l'invalidité (ATF 126 V 75 consid. 3b/aa et bb). Ces données servent à fixer le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Afin de tenir compte des circonstances personnelles et professionnelles du cas particulier (limitations liées au handicap, âge avancé, années de service, nationalité/catégorie d'autorisation de séjour et taux d'occupation), le revenu d'invalide ressortant des statistiques doit être réduit. La hauteur de la réduction relève en premier lieu de l'office AI qui dispose pour cela d'un large pouvoir d'appréciation. La jurisprudence n'admet cependant à ce titre pas de déduction globale supérieure à 25% (ATF 126 V 75 consid. 5). Le juge des assurances sociales ne peut, sans motif pertinent, substituer son appréciation à celle de l'administration (ATF 126 cité consid. 6).</w:t>
      </w:r>
    </w:p>
    <w:p>
      <w:r>
        <w:rPr>
          <w:b/>
        </w:rPr>
        <w:t>E. 12</w:t>
      </w:r>
    </w:p>
    <w:p>
      <w:r>
        <w:t>Dans le cas concret, l'OAIE a appliqué, conformément à la jurisprudence précitée, la méthode ordinaire de comparaison des revenus. Il s'agit de comparer les revenus en fonction de ce qu'ils étaient, ou auraient pu être, en 2007, douze mois après l'apparition des atteintes causant l'invalidité (art. 29 al. 1 let. b LAI dans sa teneur en vigueur jusqu'au 31 décembre 2007; ATF 129 V 222 consid. 4.3.1 et 4.4; ATF 128 V 174; arrêt du Tribunal administratif fédéral C-4599/2007 du 27 avril 2009 consid. 10.1).</w:t>
      </w:r>
    </w:p>
    <w:p>
      <w:r>
        <w:rPr>
          <w:b/>
        </w:rPr>
        <w:t>E. 12.1</w:t>
      </w:r>
    </w:p>
    <w:p>
      <w:r>
        <w:t>Pour déterminer le revenu sans invalidité, il est indiqué de se référer, comme l'a fait l'OIAE, au revenu annuel que le recourant a gagné en tant qu'aide-boucher chez A._______ en 2005, avant son atteinte à la santé, à savoir à Fr. 65'100.50 (AI pce 12). Indexé à 2007 selon l'indice des salaires nominaux pour hommes (2005 = 1992, 2007 = 2049; cf. La Vie économique, Revue de politique économique, 9-2010), le revenu sans invalidité est égal à Fr 66'963.31, soit à un salaire mensuel de Fr. 5'580.27 (: 12). Pour le revenu d'invalide, le recours de l'OAIE aux données statistiques suisses de 2006, table TA1, niveau de qualification 4 (activités simples et répétitives) et à la moyenne des salaires dans les secteurs considérés (commerce de gros, intermédiaire du commerce [Fr. 4'792.-], production en générale [5'012], services collectifs et personnels [4'259.-]) est également correct. Le recourrant peut trouver dans ces secteurs professionnels un large éventail d'activités légères et adaptées à son état de santé. Le montant de Fr. 4'687.67 pour 40h/semaine respectivement de Fr. 4'886.90 une fois adapté à l'horaire usuel du secteur privé de 41.7h/semaine, doit encore être indexé à 2007 (2006 = 2014; 2007 = 2049). Il en résulte un revenu mensuel de Fr 4'971.83. Eu égard au fait que le recourant devait renoncer à un âge avancé à sa dernière activité d'aide-boucher exercée durant presque 20 ans, l'abattement de 20% que l'OAIE a consenti est justifié. Le revenu avec invalidité à prendre en considération correspond ainsi à Fr. 3'977.45.</w:t>
      </w:r>
    </w:p>
    <w:p>
      <w:r>
        <w:rPr>
          <w:b/>
        </w:rPr>
        <w:t>E. 12.2</w:t>
      </w:r>
    </w:p>
    <w:p>
      <w:r>
        <w:t>Le calcul comparatif des revenus fait apparaître une diminution de la capacité de gain de 29% arrondi (5'580.27- 3'977.45 / 5'580.27 x 100). Ce taux étant inférieur à 40%, il n'ouvre pas le droit à une rente d'invalidité (cf. art. 28 al. 1 LAI dans sa version en vigueur jusqu'au 31.12.2007), conformément à ce que l'OAIE a retenu dans sa décision du 13 août 2008.</w:t>
      </w:r>
    </w:p>
    <w:p>
      <w:r>
        <w:rPr>
          <w:b/>
        </w:rPr>
        <w:t>E. 13</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Par exemple, l'on peut exiger que l'assuré accepte une activité adaptée à son état de santé afin de réduire sa perte de gain même si cela signifie qu'il doit abandonner son ancienne activité professionnelle. Il convient également de souligner que ni l'âge, ni la situation familiale ou économique, en particulier un marché de l'emploi local, ni un arrêt prolongé de l'activité professionnelle ne constituent un critère relevant pour l'octroi d'une rente d'invalidité (arrêt du Tribunal administratif fédéral I 175/04 du 28 janvier 2005 consid. 3; Jurisprudence et pratique administrative des autorités d'exécution de l'AVS/AI (VSI) 1999 p. 247 consid. 1, 1998 p. 296 consid. 3b).</w:t>
      </w:r>
    </w:p>
    <w:p>
      <w:r>
        <w:rPr>
          <w:b/>
        </w:rPr>
        <w:t>E. 14</w:t>
      </w:r>
    </w:p>
    <w:p>
      <w:r>
        <w:t>Par voie de conséquence, la décision litigieuse, basée sur un dossier suffisamment instruit, doit être confirmée et le recours du 3 septembre 2008 rejeté.</w:t>
      </w:r>
    </w:p>
    <w:p>
      <w:r>
        <w:rPr>
          <w:b/>
        </w:rPr>
        <w:t>E. 15</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 Il n'est pas alloué de dépens (art.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