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C-5749/2024 vom 14. April 2025</w:t>
      </w:r>
    </w:p>
    <w:p>
      <w:r>
        <w:t>Bundesverwaltungsgericht, 2025-04-14, DE</w:t>
      </w:r>
    </w:p>
    <w:p>
      <w:r>
        <w:rPr>
          <w:b/>
        </w:rPr>
        <w:t xml:space="preserve">Quelle: </w:t>
      </w:r>
      <w:r>
        <w:t>https://mcp.opencaselaw.ch/entscheid/bvger_C-5749_2024</w:t>
      </w:r>
    </w:p>
    <w:p>
      <w:r>
        <w:t>FR: TAF C-5749/2024 du 14 avril 2025</w:t>
      </w:r>
    </w:p>
    <w:p>
      <w:r>
        <w:t>IT: TAF C-5749/2024 del 14 aprile 2025</w:t>
      </w:r>
    </w:p>
    <w:p>
      <w:pPr>
        <w:pStyle w:val="Heading2"/>
      </w:pPr>
      <w:r>
        <w:t>Regeste</w:t>
      </w:r>
    </w:p>
    <w:p>
      <w:r>
        <w:t>Rentenanspruch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173.320.2]), dass die Beschwerdeinstanz gemäss Art. 64 Abs. 1 VwVG in Verbindung mit Art. 7 Abs. 1 VGKE der obsiegenden Partei von Amtes wegen oder auf Begehren eine Entschädigung für ihr erwachsene notwendige und verhält- nismässig hohe Kosten zusprechen kann, dass die Beschwerdeführerin aufgrund ihres Obsiegens Anspruch auf eine Parteientschädigung zu Lasten der Vorinstanz hat (Art. 64 Abs. 2 VwVG), die (unterliegende) Vorinstanz hingegen keine Parteientschädigung bean- spruchen kann (Art. 7 Abs. 3 VGKE), dass die Parteientschädigung die Kosten der Vertretung sowie allfällige weitere Auslagen der Partei umfasst (Art. 8 Abs. 1 VGKE), unnötiger</w:t>
      </w:r>
    </w:p>
    <w:p>
      <w:r>
        <w:t>C-5749/2024 Seite 11 Aufwand nicht entschädigt wird (Art. 8 Abs. 2 VGKE) und das Gericht die Parteientschädigung aufgrund der Kostennote festsetzt (Art. 14 Abs. 2 VGKE), dass gemäss bundesgerichtlicher Rechtsprechung die Wirkungen der un- entgeltlichen Rechtspflege mit der Gesuchseinreichung eintreten und ge- stützt auf Art. 29 Abs. 3 BV auch das Verfassen der Beschwerdeschrift und die dafür nötigen Vorarbeiten erfassen (vgl. zum Ganzen: BGE 122 I 322 E. 3b; 122 I 203 E. 2; 120 Ia 14 E. 3f; Urteil des BGer 5A_181/2012 vom 27. Juni 2012 E. 2.3.3), dass der Rechtsvertreter der Beschwerdeführerin in seiner Honorarnote vom 21. Januar 2025 (BVGer-act. 9/1) für den Zeitraum vom 5. August 2024 bis 21. Januar 2025 eine Entschädigung von insgesamt Fr. 4'105.80 verlangt, welche sich zusammensetzt aus einem Honorar von Fr. 3'687.50 (14.75 Std. à Fr. 250.-), Barauslagen von Fr. 110.65 (Kleinspesenpau- schale 3%) sowie einer Mehrwertsteuer von Fr. 307.65, dass aus der beiliegenden Aufstellung (BVGer-act. 9/2), welche den Auf- wand im Groben inhaltlich spezifiziert und zeitlich quantifiziert, ein Zeitauf- wand von insgesamt 13.75 Stunden resultiert, zu welchem offenbar noch ein Aufwand von 1 Stunde für das Besprechen des vorliegenden Urteils mit der Beschwerdeführerin hinzugerechnet wird (BVGer-act. 9/1 Seite 2), dass der Rechtsvertreter die Beschwerdeführerin bereits im Vorbescheid- verfahren vertreten hatte (IVSTA-act. 211) und die Vorakten schon im Vor- verfahren bestellt bzw. im Juni 2024 per CD erhalten hatte (IVSTA- act. 218), weshalb der Aufwand für das in der Aufstellung erwähnte (er- neute) Bestellen und Einlesen der Akten nicht nachvollziehbar ist bzw. als Sekretariatsarbeit ohnehin im Stundenansatz inbegriffen ist (vgl. Urteil des BVGer C-4764/2018 vom 7. Oktober 2020 m.H.) und – infolge der Vorbe- fassung – der notwendige Aufwand für die Vorarbeiten (total 1.85 Std.) so- wie die Abfassung der Beschwerdeschrift (total 8.5 Std.) von insgesamt 10.35 Stunden entsprechend tiefer (um ca. 2 Std.) zu veranschlagen ist (vgl. z.B. Urteil des EVG [heute: BGer] I 322/04 vom 22. September 2004 E. 5.1), dass der für den Brief vom 21. Januar 2025 (BVGer-act. 9) geltend ge- machte Aufwand (0.5 Std.) namentlich die Honorarnote betrifft und damit als administrativer Aufwand nicht zu entschädigen ist (vgl. Urteil des BVGer C-3415/2016 vom 7. Januar 2019 E. 10.2.1),</w:t>
      </w:r>
    </w:p>
    <w:p>
      <w:r>
        <w:t>C-5749/2024 Seite 12 dass nachprozessuale Leistungen, welche in offensichtlichem Zusammen- hang mit dem Mandat stehen, eindeutig von einem einheitlichen Anwalts- mandat umfasst sind, weshalb der im Anschluss an das Gerichtsurteil an- fallende Aufwand für das Studium des Urteils sowie die Besprechung mit der Klientschaft zu entschädigen ist (vgl. statt vieler: Urteil des BGer 9C_387/2012 vom 26. September 2012 E. 4) und der dafür geltend ge- machte Aufwand von 1 Stunde rechtsprechungsgemäss zu akzeptieren ist (vgl. Urteil des BVGer C-107/2014 vom 2. Mai 2017 E. 9.3), dass die restlichen Positionen bzw. die dafür geltend gemachten Aufwen- dungen von insgesamt 2.9 Stunden als vertretbar erscheinen mit Aus- nahme von zwei Positionen (11.10.2024 und 19.12.2024), welche auch die Weiterleitung von Dokumenten und damit administrativen Aufwand enthal- ten, weshalb sich eine Kürzung im Umfang von 0.3 Stunden (2 Mails à 0.15 Std.) rechtfertigt (vgl. Urteil des BVGer C-2358/2017 vom 13. Juni 2019 E. 7.2), dass nach dem Gesagten bzw. in Berücksichtigung des Verfahrensaus- gangs, des gebotenen und aktenkundigen Aufwands, der Bedeutung der Streitsache, der Schwierigkeit des vorliegend zu beurteilenden Verfahrens sowie in Anbetracht der in vergleichbaren Fällen gesprochenen Entschädi- gungen vorliegend ein Aufwand von rund 12 Stunden als angemessen zu betrachten ist, dass die geltend gemachten, jedoch nicht detailliert ausgewiesenen Ausla- gen (für Porti und Kopien) hier aufgrund der Akten auf schätzungsweise Fr. 50.- zu kürzen sind (vgl. Urteil des BVGer C-100/2022 vom 28. Juli 2022 m.H.), nachdem der verlangte pauschale Kleinspesenersatz unzulässig ist (vgl. Urteil des BVGer A-4556/2011 vom 27. März 2012 E. 3.1.3), und auf- grund des ausländischen Wohnsitzes der obsiegenden Beschwerdeführe- rin kein Mehrwertsteuerzuschlag gemäss Art. 9 Abs. 1 Bst. c VGKE zu ge- währen ist (vgl. Art. 1 Abs. 2 Bst. a i.V.m. Art. 8 Abs. 1 MWSTG [SR 641.20]), dass sich bei einem Zeitaufwand von insgesamt 12 Stunden, einem Stun- denansatz von Fr. 250.- (vgl. dazu Art. 10 Abs. 2 VGKE) und Auslagen von Fr. 50.- eine Parteientschädigung von Fr. 3’050.- ergibt, dass demzufolge die Vorinstanz die Beschwerdeführerin mit Fr. 3'050.- (inkl. Auslagen, ohne Mehrwertsteuerzuschlag) zu entschädigen hat.</w:t>
      </w:r>
    </w:p>
    <w:p>
      <w:r>
        <w:t>C-5749/2024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