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C-5745/2007 vom 18. Februar 2009</w:t>
      </w:r>
    </w:p>
    <w:p>
      <w:r>
        <w:t>Bundesverwaltungsgericht, 2009-02-18, DE</w:t>
      </w:r>
    </w:p>
    <w:p>
      <w:r>
        <w:rPr>
          <w:b/>
        </w:rPr>
        <w:t xml:space="preserve">Quelle: </w:t>
      </w:r>
      <w:r>
        <w:t>https://mcp.opencaselaw.ch/entscheid/bvger_C-5745_2007</w:t>
      </w:r>
    </w:p>
    <w:p>
      <w:r>
        <w:t>FR: TAF C-5745/2007 du 18 février 2009</w:t>
      </w:r>
    </w:p>
    <w:p>
      <w:r>
        <w:t>IT: TAF C-5745/2007 del 18 febbraio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hat am vorinstanzlichen Verfahren teilgenommen; sie ist durch die angefochtene Verfügung besonders berührt und hat ein schutzwürdiges Interesse an deren Anfechtung; sie ist daher zur Beschwerde legitimiert (Art. 59 ATSG).</w:t>
      </w:r>
    </w:p>
    <w:p>
      <w:r>
        <w:rPr>
          <w:b/>
        </w:rPr>
        <w:t>E. 1.4</w:t>
      </w:r>
    </w:p>
    <w:p>
      <w:r>
        <w:t>Da die Beschwerde im Übrigen frist- und formgerecht (Art. 60 Abs. 1 ATSG und Art. 52 Abs. 1 VwVG) eingereicht wurde, ist darauf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Vorliegend strittig und vom Bundesverwaltungsgericht zu prüfen ist, ob die SAK die Beschwerdeführerin zu Recht aus der freiwilligen Versicherung ausgeschlossen hat.</w:t>
      </w:r>
    </w:p>
    <w:p>
      <w:r>
        <w:rPr>
          <w:b/>
        </w:rPr>
        <w:t>E. 3.1</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27. Juli 2007, eingetretenen Sachverhalt abstellen (vgl. BGE 129 V 4 E. 1.2 mit Hinweisen), sind die Bestimmungen der Verordnung vom 26. Mai 1961 über die freiwillige Alters-, Hinterlassenen- und Invalidenversicherung (VFV, SR 831.111) anwendbar, die bis zum 31. Dezember 2007 Geltung hatten und in der Folge zitiert werden.</w:t>
      </w:r>
    </w:p>
    <w:p>
      <w:r>
        <w:rPr>
          <w:b/>
        </w:rPr>
        <w:t>E. 3.2</w:t>
      </w:r>
    </w:p>
    <w:p>
      <w:r>
        <w:t>Gemäss Art. 2 Abs. 3 AHVG werden Versicherte, welche die nötigen Auskünfte nicht erteilen oder ihre Beiträge nicht fristgerecht bezahlen, aus der freiwilligen Versicherung ausgeschlossen. Art. 13 der Verordnung vom 26. Mai 1961 über die freiwillige Alters-, Hinterlassenen- und Invalidenversicherung (VFV, SR 831.111) regelt den Ausschluss aus der freiwilligen Versicherung. Versicherte werden demnach aus der freiwilligen Versicherung ausgeschlossen, wenn sie einen Jahresbeitrag nicht bis zum 31. Dezember des folgenden Kalenderjahres vollständig bezahlt haben (Art. 13 Abs. 1 Bst. a VFV).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 Der Sozialversicherungsprozess ist vom Untersuchungsgrundsatz beherrscht. Dieser Grundsatz gilt indessen nicht uneingeschränkt; er findet sein Korrelat in den Mitwirkungspflichten der Parteien (vgl. BGE 125 V 195 E. 2, BGE 122 V 158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264 E. 3b, 115 V 142 E. 8a).</w:t>
      </w:r>
    </w:p>
    <w:p>
      <w:r>
        <w:rPr>
          <w:b/>
        </w:rPr>
        <w:t>E. 4.1</w:t>
      </w:r>
    </w:p>
    <w:p>
      <w:r>
        <w:t>Aus der angefochtenen Verfügung vom 27. Juli 2007 ist nicht ersichtlich, was die SAK der Beschwerdeführerin zur Begründung des Ausschlusses zum Vorwurf macht. Der Verfügung vom 16. Januar 2007 sowie den Kontoauszügen vom 15. August 2006 (act. SAK 29) sowie vom 21. Januar 2005 (act. SAK 26) kann aber sinngemäss entnommen werden, dass die Beschwerdeführerin den für das Beitragsjahr 2004 geschuldeten Beitrag unvollständig gezahlt habe, zweimal gemahnt worden sei (das zweite Mal per Einschreiben) und trotzdem per 31. Dezember 2004 ein Restbetrag von Fr. 424.35 unbezahlt geblieben sei. In ihrer Vernehmlassung vom 21. Januar 2008 erklärt die SAK im Wesentlichen, dass das Mahnverfahren am 3. Februar 2005 mit einer ersten Mahnung eingeleitet und am 4. Mai 2005 die zweite, diesmal eingeschriebene, Mahnung erfolgt sei.</w:t>
      </w:r>
    </w:p>
    <w:p>
      <w:r>
        <w:rPr>
          <w:b/>
        </w:rPr>
        <w:t>E. 4.2</w:t>
      </w:r>
    </w:p>
    <w:p>
      <w:r>
        <w:t>Die Beschwerdeführerin macht im Wesentlichen geltend, niemals irgendwelche Mahnungen (Beschwerde, act. 1 S. 4) und insbesondere nie die sogenannten "erste Mahnung" und "zweite Mahnung" erhalten zu haben (vgl. auch Schreiben der Beschwerdeführerin an die SAK vom 18. Februar 2007 [act. SAK 34]).</w:t>
      </w:r>
    </w:p>
    <w:p>
      <w:r>
        <w:rPr>
          <w:b/>
        </w:rPr>
        <w:t>E. 4.3</w:t>
      </w:r>
    </w:p>
    <w:p>
      <w:r>
        <w:t>Trotz dieser Ausführungen der Beschwerdeführerin hat die SAK im Rahmen des Beschwerdeverfahrens den Nachweis für die Zustellung der sogenannten "zweiten Mahnung" per Einschreiben nicht erbracht. Die Vorinstanz hat auch nicht dargetan, dass die Beschwerdeführerin ein erstes Mal gemahnt worden war und auf welchen Beitragsausstand sich diese Mahnungen bezogen. Wohl hat sie in ihrem zweiten Mahnschreiben Bezug auf ein erstes Mahnschreiben vom 31. Dezember 2004 genommen. Ein solches befindet sich indes nicht bei den Akten. Demgegenüber hat die Vorinstanz in ihrer Vernehmlassung (act. 7) geltend gemacht, dass die Mahnung am 3. Februar 2005 (Beleg 26) eingeleitet worden sei, was darauf schliessen lässt, dass das auf den 12. Januar 2005 datierte und mit Ausgangsstempel vom 3. Februar 2005 versehene Schreiben die erste Mahnung gewesen sein muss. Auf dieses Schreiben wird in der zweiten Mahnung indes nicht Bezug genommen. Auch figuriert der in der 1. Mahnung geltend gemachte Beitragsausstand von Fr. 212.15 nicht in dem diesem Schreiben beigelegten Kontoauszug. Damit bleibt unklar, welchen Beitragsausstand das zweite Mahnschreiben zum Gegenstand hatte. Wie dargelegt (vgl. vorne E. 4.1), ist aus der Aktenlage zu schliessen, dass es sich hierbei um einen restlichen Anteil des Beitrags für das Jahr 2004 gehandelt haben musste. Die genaue Begründung ist die Vorinstanz indes in ihrer angefochtenen Verfügung schuldig geblieben. Die Vorinstanz hat im Übrigen in der Verfügung auch nicht dargetan, dass die Beschwerdeführerin das zweite Mahnschreiben vom 15. April 2005 (Versand am 4. Mai 2005, act. SAK 27) erhalten habe.</w:t>
      </w:r>
    </w:p>
    <w:p>
      <w:r>
        <w:rPr>
          <w:b/>
        </w:rPr>
        <w:t>E. 4.4</w:t>
      </w:r>
    </w:p>
    <w:p>
      <w:r>
        <w:t>Entscheidend ist vorliegend, dass an die Nichtbeachtung der unter Androhung des Ausschlusses erfolgenden Mahnungen schwerwiegende Folgen geknüpft sind, weshalb auch an den Nachweis der ordnungsgemässen Zustellung der Mahnungen sowie der Begründung des Beitragsausstandes entsprechende Anforderungen zu stellen sind. Im vorliegenden Fall hatte die Beschwerdeführerin bereits im Rahmen ihrer Einsprache vom 18. Februar 2007 (act. SAK 34) geltend gemacht, diese Mahnungen nie erhalten zu haben. Auf diesen Vorwurf ist die Vorinstanz in ihrem angefochtenen Einspracheentscheid vom 27. Juli 2007 (act. SAK 37) indes nicht eingegangen. Die SAK kann sich den Nachweis der Zustellung eingeschriebener Sendungen durch Empfangsbescheinigungen sichern, was mit der Grund dafür ist, dass die unter Androhung des Ausschlusses erforderliche Mahnung mit eingeschriebenem Brief zu erfolgen hat. Ist - wie vorliegend - der Nachweis der Zustellung von zwei Mahnungen, davon eine eingeschrieben, nicht erbracht, fehlt eine der unabdingbar notwendigen Voraussetzungen für den Ausschluss der Beschwerdeführerin aus der freiwilligen Versicherung. Die SAK hat daher die Beschwerdeführerin zu Unrecht aus der freiwilligen Versicherung ausgeschlossen.</w:t>
      </w:r>
    </w:p>
    <w:p>
      <w:r>
        <w:rPr>
          <w:b/>
        </w:rPr>
        <w:t>E. 4.5</w:t>
      </w:r>
    </w:p>
    <w:p>
      <w:r>
        <w:t>Im Übrigen hat die Vorinstanz ihre beiden besagten Verfügungen (act. SAK 37 und 32) der Beschwerdeführerin direkt an ihren Wohnsitz in Japan zugestellt. Mangels eines Abkommens zwischen der Schweiz und Japan war die direkte postalische Zustellung eines Verwaltungsaktes, welcher, wie hier, Rechtswirkungen nach sich zieht, unzulässig, weshalb die Zustellung auf diplomatischem Weg hätte erfolgen müssen (Verfügung des Eidgenössischen Versicherungsgerichts [heute Bundesgericht] K 18/04 vom 18. Juli 2006). Demzufolge wurde die angefochtene Verfügung der Beschwerdeführerin nicht rechtsgültig eröffnet, was zur Folge hat, dass der Ausschluss aus der freiwilligen Versicherung der AHV/IV bereits aus diesem Grund nicht rechtswirksam ist.</w:t>
      </w:r>
    </w:p>
    <w:p>
      <w:r>
        <w:rPr>
          <w:b/>
        </w:rPr>
        <w:t>E. 4.6</w:t>
      </w:r>
    </w:p>
    <w:p>
      <w:r>
        <w:t>Ob die SAK ihre Verfahren im Übrigen korrekt durchgeführt hat und inwiefern sie die geschuldeten Beträge richtig berechnet hat, kann unter diesen Umständen offen bleiben.</w:t>
      </w:r>
    </w:p>
    <w:p>
      <w:r>
        <w:rPr>
          <w:b/>
        </w:rPr>
        <w:t>E. 4.7</w:t>
      </w:r>
    </w:p>
    <w:p>
      <w:r>
        <w:t>Die Verfügung vom 27. Juli 2007 ist daher aufzuheben, womit die Beschwerdeführerin weiterhin der freiwilligen Versicherung angeschlossen ist. Es bleibt damit der Beschwerdeführerin überlassen, rechtzeitig alle rechtskräftig festgesetzten AHV/IV-Beiträge zu bezahlen; die Vorinstanz hat die Begleichung ihres Rückstandes anzunehmen.</w:t>
      </w:r>
    </w:p>
    <w:p>
      <w:r>
        <w:rPr>
          <w:b/>
        </w:rPr>
        <w:t>E. 5.1</w:t>
      </w:r>
    </w:p>
    <w:p>
      <w:r>
        <w:t>Das Verfahren ist für die Parteien kostenlos (Art. 85bis Abs. 2 AHVG), sodass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