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C-5742/2009 vom 19. März 2010</w:t>
      </w:r>
    </w:p>
    <w:p>
      <w:r>
        <w:t>Bundesverwaltungsgericht, 2010-03-19, FR</w:t>
      </w:r>
    </w:p>
    <w:p>
      <w:r>
        <w:rPr>
          <w:b/>
        </w:rPr>
        <w:t xml:space="preserve">Quelle: </w:t>
      </w:r>
      <w:r>
        <w:t>https://mcp.opencaselaw.ch/entscheid/bvger_C-5742_2009</w:t>
      </w:r>
    </w:p>
    <w:p>
      <w:r>
        <w:t>FR: TAF C-5742/2009 du 19 mars 2010</w:t>
      </w:r>
    </w:p>
    <w:p>
      <w:r>
        <w:t>IT: TAF C-5742/2009 del 19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thaïlandaise, Y._______ est soumise à l'obligation du visa.</w:t>
      </w:r>
    </w:p>
    <w:p>
      <w:r>
        <w:rPr>
          <w:b/>
        </w:rPr>
        <w:t>E. 7.1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ou de provenance ne suffit pas à conclure à l'absence de garantie quant à la sortie de Suisse à l'issue du séjour, toutes les particularités du cas d'espèce devant être prises en considération.</w:t>
      </w:r>
    </w:p>
    <w:p>
      <w:r>
        <w:rPr>
          <w:b/>
        </w:rPr>
        <w:t>E. 7.4</w:t>
      </w:r>
    </w:p>
    <w:p>
      <w:r>
        <w:t>A ce sujet, il faut prendre en considération la qualité de vie et les conditions économiques et sociales difficiles que connaît l'ensemble de la population de la Thaïlande, pays dont le PIB par habitant était de 4000 USD en 2008 et dont l'économie, qui avait déjà beaucoup souffert de la crise asiatique de 1997-1998, a été durement frappée par la crise financière et économique mondiale en 2008, notamment en raison de l'ouverture très large de son économie. Les exportations, moteur principal de la croissance du pays, se sont contractées depuis le début de l'année 2009 [source: site internet du Ministère français des affaires étrangères &gt; France-Diplomatie &gt; Pays-zones géo &gt; Thaïlande &gt; Présentation &gt; Données générales &gt; Données économiques et Situation économique; consulté le 5 mars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Sans vouloir minimiser l'importance des motifs d'ordre amical sur lesquels Y._______ fonde sa demande d'autorisation d'entrée en Suisse (séjour de visite auprès d'une connaissance), le TAF ne saurait admettre, au vu de l'ensemble des éléments du dossier, que la sortie de ce pays de l'intéressée au terme du séjour envisagé soit suffisamment garantie.</w:t>
      </w:r>
    </w:p>
    <w:p>
      <w:r>
        <w:rPr>
          <w:b/>
        </w:rPr>
        <w:t>E. 8.1.1</w:t>
      </w:r>
    </w:p>
    <w:p>
      <w:r>
        <w:t>En l'état du dossier, il ressort en effet des indications communiquées par Y._______ aux autorités helvétiques que cette dernière, qui est âgée d'un peu moins de trente-cinq ans, est célibataire. Dans ces circonstances, l'intéressée serait à même d'envisager une nouvelle existence hors de son pays d'origine, sans que cela n'entraîne pour elle de difficultés majeures sur les plans personnel et familial. Certes, selon les informations dont la Représentation de Suisse à Bangkok a fait part à l'ODM lors de la transmission de sa demande de visa, Y._______ a indiqué, lors du dépôt de cette requête auprès de ladite Représentation, avoir des enfants, dont s'occupe sa mère. La présence de ces derniers dans le pays d'origine de Y._______ constitue un élément qui, a priori, parle en faveur de la sortie de Suisse de l'intéressée à la fin du séjour touristique envisagé. Il sied néanmoins d'admettre, au vu de l'expérience générale, que de tels liens, comme la présence de ses autres proches parents en Thaïlande, sont parfois insuffisants pour inciter une personne à retourner dans son pays et, souvent, ne l'emportent pas sur la perspective d'un avenir plus favorable en Suisse. D'autre part, le fait que Y._______ possède en Thaïlande un salon de beauté n'est pas davantage susceptible de représenter un facteur déterminant dans l'appréciation du cas offrant l'assurance que le départ de l'intéressée du territoire helvétique interviendra dans les délais prévus. Il ne ressort pas des observations formulées par la Représentation de Suisse à Bangkok au sujet de l'activité exercée par Y._______ en Thaïlande que dite activité présente un caractère stable et durable, de sorte que les attaches professionnelles de l'intéressée avec sa patrie ne paraissent pas suffisantes pour l'inciter sans aucune réserve à retourner dans cette dernière. Compte tenu des circonstances socio-économiques évoquées ci-dessus à propos de la Thaïlande, les autorités helvétiques ne peuvent totalement exclure que Y._______ ne s'efforce, une fois entrée en ce pays et malgré les assurances contraires qui ont été données par le recourant, d'obtenir un titre de séjour dans l'espoir d'y débuter l'exercice d'une activité lucrative lui procurant des conditions d'existence meilleures que celles rencontrées dans son pays d'origine. Il ne faut pas perdre de vue en effet que cette différence de niveau de vie peut s'avérer déterminante lorsqu'on prend la décision de quitter sa patrie. Au demeurant, l'on ne décèle aucun élément dans le dossier permettant de conclure que la situation matérielle de Y._______ se trouverait péjorée si celle-ci prenait la décision de demeurer sur territoire helvétique à l'expiration de son visa dans le but d'y prendre un emploi, tout en envisageant de se faire ensuite rejoindre en ce pays par ses enfants. Les indications dont l'intéressée a fait part dans sa demande de visa touristique laissent plutôt entendre que cette dernière ne dispose que de ressources pécuniaires relativement restreintes. Il résulte en effet des précisions fournies par Y._______ à ce sujet que les frais de son voyage et de son séjour en Suisse ne seraient pas couverts par ses fonds propres, mais seraient supportés par X._______ (cf. ch. 35 du formulaire de demande de visa). La présence de son ami en Suisse peut en outre constituer un élément supplémentaire propre à favoriser l'éventuelle installation de l'intéressée en ce pays. Au vu des éléments exposés ci-dessus, le TAF ne saurait tenir pour minime le risque que Y._______ ne mette à profit sa présence en Suisse pour s'y installer durablement auprès de son ami, séparé de son épouse.</w:t>
      </w:r>
    </w:p>
    <w:p>
      <w:r>
        <w:rPr>
          <w:b/>
        </w:rPr>
        <w:t>E. 8.1.2</w:t>
      </w:r>
    </w:p>
    <w:p>
      <w:r>
        <w:t>Les doutes émis par les autorités helvétiques quant à la volonté de Y._______ de quitter la Suisse à l'expiration de son visa sont encore renforcés par les imprécisions que caractérisent les renseignements donnés à propos de la durée prévue de son séjour touristique en Suisse et par le peu de connaissance dont l'intéressée a fait preuve lors du dépôt de sa demande de visa devant la Représentation de Suisse à Bangkok au sujet de son hôte en Suisse. Alors que Y._______ a indiqué dans sa demande de visa vouloir effectuer en Suisse un séjour touristique d'une durée d'un mois (cf. ch. 30 et 31 de la demande), le recourant a par contre fait état, dans ses écritures des 11 septembre et 23 novembre 2009, de son intention d'accueillir chez lui l'intéressée pour un séjour de vacances devant porter sur une période comprise entre un et trois mois. Dans ce contexte, il apparaît du reste difficilement compréhensible que Y._______ veuille laisser ses enfants en Thaïlande pendant une période aussi longue, fût-ce sous la garde de sa mère. De plus, ainsi que cela ressort des informations communiquées par la Représentation de Suisse à Bangkok lors de la transmission à l'ODM de la demande de visa de Y._______, celle-ci n'a pas été en mesure, au moment du dépôt de sa requête auprès de ladite Représentation, de donner beaucoup de précisions au sujet de son hôte en Suisse, dont elle n'avait fait la connaissance que cinq mois auparavant par l'intermédiaire d'une compatriote. Ces éléments d'incertitude, ajoutés aux autres éléments du dossier, accréditent les craintes formulées par les autorités helvétiques sur l'effectivité de la sortie de Suisse de l'intéressée à l'échéance du visa sollicité.</w:t>
      </w:r>
    </w:p>
    <w:p>
      <w:r>
        <w:rPr>
          <w:b/>
        </w:rPr>
        <w:t>E. 9</w:t>
      </w:r>
    </w:p>
    <w:p>
      <w:r>
        <w:t>Cela étant, le désir exprimé par Y._______, au demeurant parfaitement compréhensible, de venir en Suisse pour y effectuer un séjour de visite auprès d'un ami ne constitue pas à lui seul un motif justifiant l'octroi d'un visa, à propos duquel elle ne saurait au demeurant se prévaloir d'aucun droit (cf. supra consid. 3). Certes, il peut, du moins à première vue, sembler sévère de refuser à une personne l'autorisation d'entrer dans un pays où résident des membres de sa famille ou des amis. Il convient toutefois de souligner que cette situation ne diffère pas de celle de nombreux autres étrangers dont la parenté demeure également en Suisse. En effet, au vu du nombre important de demandes de visa (n'émanant d'ailleurs pas uniquement de ressortissants thaïlandais)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supra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TAF C-7201/2008 du 11 janvier 2010 consid. 9).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précité consid. 10 et réf. citée)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Y._______ et son hôte vivant en Suisse de se voir, ces derniers pouvant tout aussi bien se rencontrer hors de Suisse, notamment en Thaïlande, où le recourant a allégué avoir rendu, plusieurs fois, visite à l'intéressée depuis qu'il a fait sa connaissance.</w:t>
      </w:r>
    </w:p>
    <w:p>
      <w:r>
        <w:rPr>
          <w:b/>
        </w:rPr>
        <w:t>E. 11</w:t>
      </w:r>
    </w:p>
    <w:p>
      <w:r>
        <w:t>Au vu de l'ensemble des circonstances, le TAF estime qu'il ne saurait être reproché à l'ODM d'avoir considéré que le départ de Suisse de Y._______ à l'échéance du visa requis n'était pas suffisamment assuré et, partant, d'avoir refusé la délivrance d'une autorisation d'entrée dans l'Espace Schengen en sa faveur.</w:t>
      </w:r>
    </w:p>
    <w:p>
      <w:r>
        <w:rPr>
          <w:b/>
        </w:rPr>
        <w:t>E. 12</w:t>
      </w:r>
    </w:p>
    <w:p>
      <w:r>
        <w:t>Il s'ensuit que, par sa décision du 19 août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