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C-5738/2010 vom 22. August 2012</w:t>
      </w:r>
    </w:p>
    <w:p>
      <w:r>
        <w:t>Bundesverwaltungsgericht, 2012-08-22, FR</w:t>
      </w:r>
    </w:p>
    <w:p>
      <w:r>
        <w:rPr>
          <w:b/>
        </w:rPr>
        <w:t xml:space="preserve">Quelle: </w:t>
      </w:r>
      <w:r>
        <w:t>https://mcp.opencaselaw.ch/entscheid/bvger_C-5738_2010</w:t>
      </w:r>
    </w:p>
    <w:p>
      <w:r>
        <w:t>FR: TAF C-5738/2010 du 22 août 2012</w:t>
      </w:r>
    </w:p>
    <w:p>
      <w:r>
        <w:t>IT: TAF C-5738/2010 del 22 agosto 2012</w:t>
      </w:r>
    </w:p>
    <w:p>
      <w:pPr>
        <w:pStyle w:val="Heading2"/>
      </w:pPr>
      <w:r>
        <w:t>Regeste</w:t>
      </w:r>
    </w:p>
    <w:p>
      <w:r>
        <w:t>Révision de la rente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Vu l'issue de la cause, il n'est pas perçu de frais de procédure (art. 63 PA) et le montant de Fr. 300.- versé par le recourant à titre d'avance de frais lui est restitué.</w:t>
      </w:r>
    </w:p>
    <w:p>
      <w:r>
        <w:rPr>
          <w:b/>
        </w:rPr>
        <w:t>E. 12</w:t>
      </w:r>
    </w:p>
    <w:p>
      <w:r>
        <w:t>La partie qui obtient gain de cause a droit à une indemnité pour les frais indispensables et relativement élevés occasionnés par le litige (art. 64 al. 1 PA et art. 7 al. 1 du règlement du 21 février 2008 concernant les frais, dépens et indemnités fixés par le Tribunal administratif fédéral [FITAF, RS 173.320.2]), étant précisé qu'il y également gain de cause lorsque le Tribunal renvoie la cause à l'administration pour instruction complémentaire et nouvelle décision (ATF 132 V 215 consid. 6.2). Ainsi, compte tenu des particularités du cas, il se justifie in casu ex aequo et bono d'allouer des dépens d'un montant de Fr. 3'000.- au recourant qui a mandaté un avocat pour la défense de ses intérêts (art. 64 al. 1 PA et art. 7 ss du règlement du 21 février 2008 concernant les frais, dépens, et indemnités fixés par le Tribunal administratif fédéral [FITAF, RS 173.320.2]; cf. également ATF 132 V 215 consid. 6.2).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