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C-5737/2012 vom 21. Mai 2013</w:t>
      </w:r>
    </w:p>
    <w:p>
      <w:r>
        <w:t>Bundesverwaltungsgericht, 2013-05-21, DE</w:t>
      </w:r>
    </w:p>
    <w:p>
      <w:r>
        <w:rPr>
          <w:b/>
        </w:rPr>
        <w:t xml:space="preserve">Quelle: </w:t>
      </w:r>
      <w:r>
        <w:t>https://mcp.opencaselaw.ch/entscheid/bvger_C-5737_2012</w:t>
      </w:r>
    </w:p>
    <w:p>
      <w:r>
        <w:t>FR: TAF C-5737/2012 du 21 mai 2013</w:t>
      </w:r>
    </w:p>
    <w:p>
      <w:r>
        <w:t>IT: TAF C-5737/2012 del 21 maggio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Da die angefochtene Verfügung der Beschwerdeführerin am 21. September 2012 mangelhaft eröffnet und die gesetzeskonforme Eröffnung vom Bundesverwaltungsgericht nachgeholt wurde, ist die Beschwerdeeingabe vom 30. Oktober 2012 als fristgerecht zu betrachten (vgl. Art. 38 und Art. 50 Abs. 1 VwVG sowie Sachverhalt Bst. C und E). Auf die demnach sowohl frist- als auch formgerechte (Art. 52 Abs. 1 VwVG) Beschwerde ist somit einzutreten.</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Die Behörde kann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Bundesverwaltungs­gerichts C 820/2009 vom 9. März 2011 E. 5 mit Hinweisen).</w:t>
      </w:r>
    </w:p>
    <w:p>
      <w:r>
        <w:rPr>
          <w:b/>
        </w:rPr>
        <w:t>E. 4.1</w:t>
      </w:r>
    </w:p>
    <w:p>
      <w:r>
        <w:t>Die Vorinstanz stützt das Einreiseverbot auf Art. 67 Abs. 2 Bst. a AuG. Die Beschwerdeführerin habe sich während mehr als dreissig Tagen über den bewilligungsfreien Aufenthalt hinaus illegal im Schengenraum aufgehalten. Damit liege gemäss ständiger Praxis ein ernstzunehmender Verstoss gegen die öffentliche Sicherheit und Ordnung vor.</w:t>
      </w:r>
    </w:p>
    <w:p>
      <w:r>
        <w:rPr>
          <w:b/>
        </w:rPr>
        <w:t>E. 4.2</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Abs. 1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höchstens drei Monate innerhalb einer Frist von sechs Monaten vom Datum der ersten Einreise an im Hoheitsgebiet der Schengen-Staaten frei bewegen dürfen, soweit sie die Einreisevoraussetzungen erfüllen (vgl. Art. 20 Abs. 1 des Schengener Durchführungsübereinkommens [SDÜ, Abl. L 239 vom 22. September 2000, S. 19-62]).</w:t>
      </w:r>
    </w:p>
    <w:p>
      <w:r>
        <w:rPr>
          <w:b/>
        </w:rPr>
        <w:t>E. 4.3</w:t>
      </w:r>
    </w:p>
    <w:p>
      <w:r>
        <w:t>Die Beschwerdeführerin hielt sich unbestrittenermassen vom 16. August bis am 25. Oktober 2011 während 71 Tagen in der Schweiz auf. Anschliessend reiste sie bereits am 5. Dezember 2011 - also deutlich vor Ablauf des Zeitraums von sechs Monaten gemäss Art. 9 VZAE - wieder in die Schweiz ein und hielt sich nochmals während 86 Tagen, mithin bis am 28. Februar 2012, hier auf (vgl. BFM act. 5 f., 10). Die Beschwerdeführerin hat damit die für einen bewilligungsfreien Aufenthalt zulässige Dauer um rund zwei Monate überschritten, ohne sich anzumelden bzw. die erforderliche Bewilligung einzuholen (vgl. Art. 10 Abs. 2 und Art. 12 AuG). Durch diesen rechtswidrigen Aufenthalt hat sie gegen die öffentliche Sicherheit und Ordnung verstossen (s. vorne, E. 3.2) und unter dem Gesichtspunkt von Art. 67 Abs. 2 Bst. a AuG hinreichenden Anlass für die Verhängung einer Fernhaltemassnahme gegeben. Dass die Grenzwachtpolizei darauf verzichtete, sie wegen Verstosses gegen Art. 115 Abs. 1 Bst. b AuG anzuzeigen (vgl. BFM act. 10), ändert daran nichts. Das Einreiseverbot knüpft nicht an die Erfüllung einer Strafnorm oder eine strafrechtliche Verurteilung an, sondern an das Vorliegen einer Polizeigefahr. Ob eine solche besteht und wie sie zu gewichten ist, hat die Behörde in eigener Kompetenz unter Zugrundelegung spezifisch ausländerrechtlicher Kriterien zu beurteilen (vgl. Urteil des Bundesverwaltungsgerichts C 7510/2010 vom 20. November 2012 E. 5.2 sowie hinten E. 6.2).</w:t>
      </w:r>
    </w:p>
    <w:p>
      <w:r>
        <w:rPr>
          <w:b/>
        </w:rPr>
        <w:t>E. 4.4</w:t>
      </w:r>
    </w:p>
    <w:p>
      <w:r>
        <w:t>Die Beschwerdeführerin bittet um Entschuldigung, falls sie sich unwissend gesetzeswidrig verhalten habe. Dieses Vorbringen erscheint zwar glaubhaft, doch ist für die Verhängung eines Einreiseverbots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Bundesverwaltungsgerichts C-6834/2011 vom 29. August 2012 E. 4.2 mit Hinweis).</w:t>
      </w:r>
    </w:p>
    <w:p>
      <w:r>
        <w:rPr>
          <w:b/>
        </w:rPr>
        <w:t>E. 4.5</w:t>
      </w:r>
    </w:p>
    <w:p>
      <w:r>
        <w:t>Zusammenfassend ist festzuhalten, dass ein hinreichender Grund für die Verhängung einer Fernhaltemassnahme vorliegt.</w:t>
      </w:r>
    </w:p>
    <w:p>
      <w:r>
        <w:rPr>
          <w:b/>
        </w:rPr>
        <w:t>E. 5.1</w:t>
      </w:r>
    </w:p>
    <w:p>
      <w:r>
        <w:t>Wird gegen eine Person, die nicht das Bürgerrecht eines Mitglied­staates der Europäischen Union besitzt, ein Ein­reiseverbot verhängt, so wird diese in der Regel im SIS zur Einreiseverweigerung ausgeschrieben (vgl. Art. 94 Abs. 1 und Art. 96 SDÜ sowie Art. 16 Abs. 2 und 4 des Bundesgesetzes vom 13. Juni 2008 über die polizeilichen Informationssysteme des Bundes [BPI, SR 361]).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5.2</w:t>
      </w:r>
    </w:p>
    <w:p>
      <w:r>
        <w:t>Die Beschwerdeführerin ist nicht Bürgerin eines Mitgliedstaates der Europäischen Union. Aufgrund der Ausschreibung im SIS ist ihr untersagt, den Schengen-Raum zu betreten. Der darin liegende Eingriff wird durch die Bedeutung des Falles gerechtfertigt (vgl. Art. 96 Abs. 2 SDÜ sowie hinten E. 6). Dies gilt umso mehr, als die Schweiz im Geltungsbereich des Schengen-Rechts die Interessen der Gesamtheit aller Schengen-Staaten zu wahren hat (vgl. BVGE 2011/48 E. 6.1). Die Ausschreibung eines Einreiseverbots hindert einen Schengen-Staat nicht daran, der ausgeschriebenen Person die Einreise in das eigene Hoheitsgebiet aus humanitären Gründen, Gründen des nationalen Interesses oder aufgrund völkerrechtlicher Verpflichtungen zu gestatten (vgl. Art. 5 Abs. 4 Bst. d SGK sowie Art. 67 Abs. 5 AuG). Die Voraussetzungen für die Ausschreibung des Einreiseverbots waren demnach erfüllt.</w:t>
      </w:r>
    </w:p>
    <w:p>
      <w:r>
        <w:rPr>
          <w:b/>
        </w:rPr>
        <w:t>E. 6.1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Die Beschwerdeführerin hielt sich nach Ablauf der bewilligungsfreien Aufenthaltsdauer bis zu ihrer Ausreise am 28. Februar 2012 während rund zwei Monaten rechtswidrig in der Schweiz auf (s. vorne, E. 4.3). Aus dem manifestierten Verhalten der Beschwerdeführerin wird auf eine Gefährdung der öffentlichen Sicherheit und Ordnung geschlossen. Das Einreiseverbot hat in erster Linie präventiven Charakter, um einem weiteren rechtswidrigen Aufenthalt entgegenzuwirken. Die Vorinstanz war demnach berechtigt, zur Abwendung künftiger Störungen ein Einreiseverbot zu verhängen. Den ausländerrechtlichen Normen kommt im Interesse einer funktionierenden Rechtsordnung eine zentrale Bedeutung zu. Namentlich das generalpräventiv motivierte Interesse, die ausländerrechtliche Ordnung durch eine konsequente Massnahmenpraxis zu schützen, ist gewichtig (vgl. Urteil des Bundesgerichts 2C_948/2011 vom 11. Juli 2012 E. 3.4.2 in fine). Überdies liegt eine spezialpräventive Zielsetzung der Massnahme darin, dass sie die betroffene Person ermahnt, bei einer allfälligen künftigen Wiedereinreise in die Schweiz nach Ablauf der Dauer des Einreiseverbots die für sie geltenden Regeln einzuhalten (vgl. hierzu Urteil des Bundesverwaltungsgerichts C 2771/2010 vom 3. Februar 2012 E. 6.1). Es besteht somit ein erhebliches öffentliches Interesse an der befristeten Fernhaltung der Beschwerdeführerin.</w:t>
      </w:r>
    </w:p>
    <w:p>
      <w:r>
        <w:rPr>
          <w:b/>
        </w:rPr>
        <w:t>E. 6.3</w:t>
      </w:r>
    </w:p>
    <w:p>
      <w:r>
        <w:t>Die Beschwerdeführerin bringt als persönliches Interesse vor, sie habe in der Schweiz einen Freund, den sie besuchen möchte. Sie besuche die Schweiz seit dem Jahr 2006 öfters, Land und Leute gefielen ihr sehr. Ihre wirtschaftliche Lage sei gut. Diese Vorbringen sind zwar glaubhaft, rechtfertigen es aber nicht, von einem Einreiseverbot abzusehen. Die Beschwerdeführerin kann den Kontakt zu ihrem Freund während der Gültigkeit des Einreiseverbots auch auf andere Weise als durch Besuche in der Schweiz pflegen (z.B. Briefverkehr, Telefonate, Internet und Besuche des Freundes in der Türkei). Die mit dem Einreiseverbot einhergehenden Einschränkungen hat sie hinzunehmen, zumal das dargelegte öffentliche Interesse erheblich ins Gewicht fällt. Sodann hat bereits die Vorinstanz im Rahmen ihrer Vernehmlassung darauf hingewiesen, dass das Einreiseverbot auf begründetes Gesuch hin aus wichtigen Gründen befristet suspendiert werden kann (vgl. Art. 67 Abs. 5 AuG). Eine wertende Gewichtung der sich entgegenstehenden Interessen führt demnach zum Ergebnis, dass das Einreiseverbot sowohl vom Grundsatz her als auch in Bezug auf seine Dauer eine verhältnismässige und angemessene Massnahme zum Schutz der öffentlichen Sicherheit und Ordnung darstellt. Das zweijährige Einreiseverbot entspricht im Übrigen auch der ständigen Praxis in vergleichbaren Fällen (vgl. statt vieler die Urteile des Bundesverwaltungsgerichts C 2792/2012 vom 21. Januar 2013, C-1279/2012 vom 18. September 2012 und C 1667/2010 vom 21. März 2011).</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die Beschwerdeführerin kostenpflichtig (Art. 63 Abs. 1 VwVG). Die Verfahrenskosten sind auf Fr. 1'000.- festzusetzen (Art. 1, Art. 2 und Art.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