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C-5735/2023 vom 19. Dezember 2023</w:t>
      </w:r>
    </w:p>
    <w:p>
      <w:r>
        <w:t>Bundesverwaltungsgericht, 2023-12-19, DE</w:t>
      </w:r>
    </w:p>
    <w:p>
      <w:r>
        <w:rPr>
          <w:b/>
        </w:rPr>
        <w:t xml:space="preserve">Quelle: </w:t>
      </w:r>
      <w:r>
        <w:t>https://mcp.opencaselaw.ch/entscheid/bvger_C-5735_2023</w:t>
      </w:r>
    </w:p>
    <w:p>
      <w:r>
        <w:t>FR: TAF C-5735/2023 du 19 décembre 2023</w:t>
      </w:r>
    </w:p>
    <w:p>
      <w:r>
        <w:t>IT: TAF C-5735/2023 del 19 dicembre 2023</w:t>
      </w:r>
    </w:p>
    <w:p>
      <w:pPr>
        <w:pStyle w:val="Heading2"/>
      </w:pPr>
      <w:r>
        <w:t>Regeste</w:t>
      </w:r>
    </w:p>
    <w:p>
      <w:r>
        <w:t>Zwangsanschluss an die Auffangeinrichtung</w:t>
      </w:r>
    </w:p>
    <w:p>
      <w:pPr>
        <w:pStyle w:val="Heading2"/>
      </w:pPr>
      <w:r>
        <w:t>Erwägungen</w:t>
      </w:r>
    </w:p>
    <w:p>
      <w:r>
        <w:rPr>
          <w:b/>
        </w:rPr>
        <w:t>E. 1</w:t>
      </w:r>
    </w:p>
    <w:p>
      <w:r>
        <w:t>Januar 2022 verfügt hatte, wiedererwägungsweise aufgehoben und in einen Zwangsanschluss ab dem 1. März 2022 umgewandelt hat (BVGer- act. 1 Beilage 2); dass A._______, vertreten durch lic. iur. Nathalie Tuor, Rechtsanwältin, B._______ AG, (…), diese Verfügung mit Beschwerde vom 19. Oktober 2023 beim Bundesverwaltungsgericht angefochten hat (BVGer-act. 1); dass die Beschwerdeführerin in ihrer Beschwerde vom 19. Oktober 2023 einerseits die Aufhebung der Verfügung vom 18. September 2023 und so- mit die Aufhebung des Zwangsanschlusses und andererseits die Sistierung des Verfahrens beantragt hat, da die Vorinstanz den Erlass einer Wieder- erwägungsverfügung in Aussicht gestellt habe; dass das Bundesverwaltungsgericht gemäss Art. 31 des Bundesgesetzes vom 17. Juni 2005 über das Bundesverwaltungsgericht (Verwaltungsge- richtsgesetz, VGG, SR 173.32) Beschwerden gegen Verfügungen nach Art. 5 des Bundesgesetzes vom 20. Dezember 1968 über das Verwal- tungsverfahren (Verwaltungsverfahrensgesetz, VwVG, SR 172.021) beur- teilt, sofern keine Ausnahme nach Art. 32 VGG vorliegt; dass als Vorinstanzen die in Art. 33 VGG genannten Behörden gelten; dass Verfügungen der Vorinstanz im Bereich des Zwangsanschlusses vor Bundesverwaltungsgericht anfechtbar sind (Art. 33 Bst. h VGG i.V.m. Art. 60 Abs. 2bis des Bundesgesetzes vom 25. Juni 1982 über die berufli- che Alters-, Hinterlassenen- und Invalidenvorsorge (BVG, SR 831.40); dass die Beschwerdeführerin mit Eingabe vom 23. Oktober 2023 (BVGer- act. 3) ausführt, dass die Auffangeinrichtung mit wiedererwägungsweise erlassener Verfügung vom 20. Oktober 2023 (BVGer-act. 3 Beilage 1) die Verfügung vom 18. September 2023 und somit den Zwangsanschluss auf- gehoben habe, ohne Kosten aufzuerlegen; dass die Auffangeinrichtung damit im Sinne der Anträge der Beschwerde- führerin entschieden habe und das Beschwerdeverfahren hinfällig werde,</w:t>
      </w:r>
    </w:p>
    <w:p>
      <w:r>
        <w:t>C-5735/2023 Seite 3 womit es als gegenstandslos abzuschreiben sei, dies unter Kosten- und Entschädigungsfolgen zu Lasten der Vorinstanz; dass die Vorinstanz in ihrer Stellungnahme vom 30. November 2023 (BVGer-act. 7) festhält, dass das Verfahren als gegenstandslos abge- schrieben werden könne, dass auf die Festsetzung von Gerichtskosten zu verzichten sei und dass das Gericht über eine allfällige Parteientschädi- gung von Amtes wegen aufgrund der Akten zu entscheiden habe; dass das Beschwerdeverfahren daher im einzelrichterlichen Verfahren als durch Wiedererwägung gegenstandslos geworden abzuschreiben ist (Art. 23 Abs. 1 Bst. a VGG); dass das Beschwerdeverfahren vor dem Bundesverwaltungsgericht gem. Art. 63 Abs. 1 VwVG kostenpflichtig ist; dass die Verfahrenskosten in der Regel jener Partei auferlegt werden, de- ren Verhalten die Gegenstandslosigkeit bewirkt hat (Art.5 des Reglements vom 21. Februar 2008 über die Kosten und Entschädigungen vor dem Bun- desverwaltungsgericht [VGKE, SR 173.320.2]); dass die Gegenstandslosigkeit von der Vorinstanz zu verantworten ist, die- ser aber keine Verfahrenskosten aufzuerlegen sind (Art. 5 VGKE i.V.m. Art. 63 Abs. 2 VwVG); dass folglich keine Verfahrenskosten zu erheben sind; dass die Gegenstandslosigkeit durch die Wiedererwägung der Vorinstanz bewirkt worden ist, weshalb der anwaltlich vertretenen Beschwerdeführerin eine Parteientschädigung zu Lasten der Vorinstanz für die ihr erwachsenen notwendigen und verhältnismässig hohen Kosten nach Art. 7 ff. VGKE zu- zusprechen ist; dass die Rechtsvertreterin der Beschwerdeführerin keine Kostennote ein- gereicht hat, womit die Parteientschädigung aufgrund der Akten festzuset- zen ist (Art. 14 Abs. 2 Satz 2 VGKE); dass die Parteientschädigung auf Fr. 800.- (inkl. Auslagen und Mehrwert- steuer) festzusetzen ist.</w:t>
      </w:r>
    </w:p>
    <w:p>
      <w:r>
        <w:rPr>
          <w:b/>
        </w:rPr>
        <w:t>E. 2</w:t>
      </w:r>
    </w:p>
    <w:p>
      <w:r>
        <w:t>Es werden keine Verfahrenskosten erhoben.</w:t>
      </w:r>
    </w:p>
    <w:p>
      <w:r>
        <w:rPr>
          <w:b/>
        </w:rPr>
        <w:t>E. 3</w:t>
      </w:r>
    </w:p>
    <w:p>
      <w:r>
        <w:t>Der Beschwerdeführerin wird eine Parteientschädigung von Fr. 800.- (inkl. Auslagen und Mehrwertsteuer) zugesprochen. Diese Parteientschädigung ist von der Vorinstanz nach Eintritt der Rechtskraft des vorliegenden Urteils zu leisten.</w:t>
      </w:r>
    </w:p>
    <w:p>
      <w:r>
        <w:rPr>
          <w:b/>
        </w:rPr>
        <w:t>E. 4</w:t>
      </w:r>
    </w:p>
    <w:p>
      <w:r>
        <w:t>Dieser Entscheid geht an die Beschwerdeführerin, die Vorinstanz, das Bundesamt für Sozialversicherungen (BSV) und die Oberaufsichtskommission Berufliche Vorsorge (OAK BV). Der Einzelrichter: Die Gerichtsschreiberin: Michael Peterli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